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 ANIKO IVANYI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zsofiivanyii@gmail.com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CSZC Szterényi József Technical and Vocational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ZOLTAN BENCE KIRALY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kiralyz997@gmail.com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>CSZC Szterényi József Technical and Vocational School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Dr. Tégla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Comparing the economics of electric and combustion engine cars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electic drive, combustion engine, cost efficiency, specific overall cost, energy consumption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TDK thesis we address a topical issue of our time, comparing in detail the</w:t>
      </w:r>
      <w:r>
        <w:rPr>
          <w:color w:val="000000"/>
          <w:sz w:val="24"/>
          <w:szCs w:val="24"/>
        </w:rPr>
        <w:br/>
        <w:t xml:space="preserve">economics of electric and internal combustion engine vehicles. Environmental</w:t>
      </w:r>
      <w:r>
        <w:rPr>
          <w:color w:val="000000"/>
          <w:sz w:val="24"/>
          <w:szCs w:val="24"/>
        </w:rPr>
        <w:br/>
        <w:t xml:space="preserve">protection and thus the reduction of emissions is a very important and pressing</w:t>
      </w:r>
      <w:r>
        <w:rPr>
          <w:color w:val="000000"/>
          <w:sz w:val="24"/>
          <w:szCs w:val="24"/>
        </w:rPr>
        <w:br/>
        <w:t xml:space="preserve">issue today. At the same time, the economic aspects should not be neglected, i.e.</w:t>
      </w:r>
      <w:r>
        <w:rPr>
          <w:color w:val="000000"/>
          <w:sz w:val="24"/>
          <w:szCs w:val="24"/>
        </w:rPr>
        <w:br/>
        <w:t xml:space="preserve">economic issues should be considered in parallel with environmental sustainability.</w:t>
      </w:r>
      <w:r>
        <w:rPr>
          <w:color w:val="000000"/>
          <w:sz w:val="24"/>
          <w:szCs w:val="24"/>
        </w:rPr>
        <w:br/>
        <w:t xml:space="preserve">To this end, the paper compares possible alternatives and examines their cost-</w:t>
      </w:r>
      <w:r>
        <w:rPr>
          <w:color w:val="000000"/>
          <w:sz w:val="24"/>
          <w:szCs w:val="24"/>
        </w:rPr>
        <w:br/>
        <w:t xml:space="preserve">effectiveness. It highlights the maintenance, upkeep and running costs of vehicles</w:t>
      </w:r>
      <w:r>
        <w:rPr>
          <w:color w:val="000000"/>
          <w:sz w:val="24"/>
          <w:szCs w:val="24"/>
        </w:rPr>
        <w:br/>
        <w:t xml:space="preserve">with different investment costs and different annual mileages. The aim is to present</w:t>
      </w:r>
      <w:r>
        <w:rPr>
          <w:color w:val="000000"/>
          <w:sz w:val="24"/>
          <w:szCs w:val="24"/>
        </w:rPr>
        <w:br/>
        <w:t xml:space="preserve">the costs of fossil-fuelled cars in a tabular form, contrasting them with the energy</w:t>
      </w:r>
      <w:r>
        <w:rPr>
          <w:color w:val="000000"/>
          <w:sz w:val="24"/>
          <w:szCs w:val="24"/>
        </w:rPr>
        <w:br/>
        <w:t xml:space="preserve">costs of new 21st century powertrains. Indicators will be created for comparison.</w:t>
      </w:r>
      <w:r>
        <w:rPr>
          <w:color w:val="000000"/>
          <w:sz w:val="24"/>
          <w:szCs w:val="24"/>
        </w:rPr>
        <w:br/>
        <w:t xml:space="preserve">We will use a 100 km per km switch to examine the fuel prices and subsidy</w:t>
      </w:r>
      <w:r>
        <w:rPr>
          <w:color w:val="000000"/>
          <w:sz w:val="24"/>
          <w:szCs w:val="24"/>
        </w:rPr>
        <w:br/>
        <w:t xml:space="preserve">intensities that make electric cars economical for a given mileage.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55599">
    <w:multiLevelType w:val="hybridMultilevel"/>
    <w:lvl w:ilvl="0" w:tplc="4341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55599">
    <w:abstractNumId w:val="84855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358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