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LOTTI KATALIN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horvathlottikatalin@gmail.com</w:t>
            </w:r>
            <w:r w:rsidRPr="001067CD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SZARKA TÍMEA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szarkacimi@gmail.com</w:t>
            </w:r>
            <w:bookmarkStart w:id="1" w:name="_GoBack"/>
            <w:bookmarkEnd w:id="1"/>
            <w:r w:rsidRPr="001067CD">
              <w:br/>
            </w:r>
            <w:r w:rsidR="00C275A3">
              <w:t>Biológia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és Technológiai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Komlósi István ,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Lenner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Természetvédelmi és tájgazdálkodási menedzser, telepvezető Pro Tiszatáj Nonprofit Kft.,  Tiszatáj Nonprofit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szürke szarvasmarha temperamentum és a tehén-borja kapcsolat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temperamentum;ivadékgondozás;anya-borjú kapcsolat;menekülési idő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célja az volt, hogy betekintést nyerhessünk a magyar szürkemarha anyai utódgondozásába és a</w:t>
      </w:r>
      <w:r>
        <w:rPr>
          <w:color w:val="000000"/>
          <w:sz w:val="24"/>
          <w:szCs w:val="24"/>
        </w:rPr>
        <w:br/>
        <w:t xml:space="preserve">fajtára jellemző temperamentum jellegzetességeibe. Vizsgálatainkkal támogatni szeretnénk a telepeken és</w:t>
      </w:r>
      <w:r>
        <w:rPr>
          <w:color w:val="000000"/>
          <w:sz w:val="24"/>
          <w:szCs w:val="24"/>
        </w:rPr>
        <w:br/>
        <w:t xml:space="preserve">gazdaságokban való állatjólétet csökkentve a sérülés kockázatát az állatok illetve a velük dolgozó emberek</w:t>
      </w:r>
      <w:r>
        <w:rPr>
          <w:color w:val="000000"/>
          <w:sz w:val="24"/>
          <w:szCs w:val="24"/>
        </w:rPr>
        <w:br/>
        <w:t xml:space="preserve">esetében, továbbá megfigyelésink során jobban megértettük az anyák és a borjaik közötti kapcsolatot ezáltal</w:t>
      </w:r>
      <w:r>
        <w:rPr>
          <w:color w:val="000000"/>
          <w:sz w:val="24"/>
          <w:szCs w:val="24"/>
        </w:rPr>
        <w:br/>
        <w:t xml:space="preserve">kiemelhettük az anyák azon tulajdonságait amelyek a tovább tenyésztés során a borjúnevelést hatékonyabbá</w:t>
      </w:r>
      <w:r>
        <w:rPr>
          <w:color w:val="000000"/>
          <w:sz w:val="24"/>
          <w:szCs w:val="24"/>
        </w:rPr>
        <w:br/>
        <w:t xml:space="preserve">tehetik így növelve a termelést.</w:t>
      </w:r>
      <w:r>
        <w:rPr>
          <w:color w:val="000000"/>
          <w:sz w:val="24"/>
          <w:szCs w:val="24"/>
        </w:rPr>
        <w:br/>
        <w:t xml:space="preserve">A kutatásunk közel egy év megfigyeléseit foglalja magába, ezalatt lehetőségünk volt a születés pillanatától</w:t>
      </w:r>
      <w:r>
        <w:rPr>
          <w:color w:val="000000"/>
          <w:sz w:val="24"/>
          <w:szCs w:val="24"/>
        </w:rPr>
        <w:br/>
        <w:t xml:space="preserve">megfigyelni az utódgondozást, az istálló és a legelő körülményei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774791">
    <w:multiLevelType w:val="hybridMultilevel"/>
    <w:lvl w:ilvl="0" w:tplc="592854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774791">
    <w:abstractNumId w:val="847747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6491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