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LAVIV LAURA</w:t>
            </w:r>
          </w:p>
          <w:p w:rsidR="00C275A3" w:rsidRDefault="00CA6B74" w:rsidP="00C275A3">
            <w:pPr>
              <w:pStyle w:val="Hallgatokepzes"/>
            </w:pPr>
            <w:r w:rsidRPr="001067CD">
              <w:rPr>
                <w:i/>
              </w:rPr>
              <w:t>lavivlaura@gmail.com</w:t>
            </w:r>
            <w:r w:rsidRPr="001067CD">
              <w:rPr>
                <w:i/>
              </w:rPr>
              <w:br/>
            </w:r>
            <w:r w:rsidR="00A96AEC">
              <w:t>Képgrafika</w:t>
            </w:r>
            <w:r w:rsidR="00A96AEC">
              <w:br/>
            </w:r>
            <w:r w:rsidR="00E77B23">
              <w:t>MA, 7.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Madácsy István</w:t>
            </w:r>
          </w:p>
          <w:p w:rsidR="00DB4822" w:rsidRDefault="00DB4822" w:rsidP="00BA6BAF">
            <w:pPr>
              <w:pStyle w:val="Konzulensektitulus"/>
            </w:pPr>
            <w:r w:rsidRPr="00DB4822">
              <w:t>egyetemi docens,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Bnei Adam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horgolás; gyász; nyomat; grafika</w:t>
      </w:r>
      <w:r>
        <w:t xml:space="preserve"/>
      </w:r>
    </w:p>
    <w:p>
      <w:pPr>
        <w:widowControl w:val="on"/>
        <w:pBdr/>
        <w:spacing w:before="240" w:after="240" w:line="240" w:lineRule="auto"/>
        <w:ind w:left="0" w:right="0"/>
        <w:jc w:val="left"/>
      </w:pPr>
      <w:r>
        <w:rPr>
          <w:color w:val="000000"/>
          <w:sz w:val="24"/>
          <w:szCs w:val="24"/>
        </w:rPr>
        <w:t xml:space="preserve">Laviv Laura</w:t>
      </w:r>
    </w:p>
    <w:p>
      <w:pPr>
        <w:widowControl w:val="on"/>
        <w:pBdr/>
        <w:spacing w:before="240" w:after="240" w:line="240" w:lineRule="auto"/>
        <w:ind w:left="0" w:right="0"/>
        <w:jc w:val="left"/>
      </w:pPr>
      <w:r>
        <w:rPr>
          <w:color w:val="000000"/>
          <w:sz w:val="24"/>
          <w:szCs w:val="24"/>
        </w:rPr>
        <w:t xml:space="preserve">Bnei Adam</w:t>
      </w:r>
      <w:r>
        <w:rPr>
          <w:color w:val="000000"/>
          <w:sz w:val="24"/>
          <w:szCs w:val="24"/>
        </w:rPr>
        <w:br/>
        <w:t xml:space="preserve">בני אדם</w:t>
      </w:r>
    </w:p>
    <w:p>
      <w:pPr>
        <w:widowControl w:val="on"/>
        <w:pBdr/>
        <w:spacing w:before="240" w:after="240" w:line="240" w:lineRule="auto"/>
        <w:ind w:left="0" w:right="0"/>
        <w:jc w:val="left"/>
      </w:pPr>
      <w:r>
        <w:rPr>
          <w:color w:val="000000"/>
          <w:sz w:val="24"/>
          <w:szCs w:val="24"/>
        </w:rPr>
        <w:t xml:space="preserve">Horgolás, textil lenyomat</w:t>
      </w:r>
    </w:p>
    <w:p>
      <w:pPr>
        <w:widowControl w:val="on"/>
        <w:pBdr/>
        <w:spacing w:before="240" w:after="240" w:line="240" w:lineRule="auto"/>
        <w:ind w:left="0" w:right="0"/>
        <w:jc w:val="left"/>
      </w:pPr>
      <w:r>
        <w:rPr>
          <w:color w:val="000000"/>
          <w:sz w:val="24"/>
          <w:szCs w:val="24"/>
        </w:rPr>
        <w:t xml:space="preserve">Magyar Képzőművészeti Egyetem</w:t>
      </w:r>
      <w:r>
        <w:rPr>
          <w:color w:val="000000"/>
          <w:sz w:val="24"/>
          <w:szCs w:val="24"/>
        </w:rPr>
        <w:br/>
        <w:t xml:space="preserve">Grafika Tanszék Képgrafika specializáció, 4. évfolyam</w:t>
      </w:r>
    </w:p>
    <w:p>
      <w:pPr>
        <w:widowControl w:val="on"/>
        <w:pBdr/>
        <w:spacing w:before="240" w:after="240" w:line="240" w:lineRule="auto"/>
        <w:ind w:left="0" w:right="0"/>
        <w:jc w:val="left"/>
      </w:pPr>
      <w:r>
        <w:rPr>
          <w:color w:val="000000"/>
          <w:sz w:val="24"/>
          <w:szCs w:val="24"/>
        </w:rPr>
        <w:t xml:space="preserve">Témavezető:</w:t>
      </w:r>
    </w:p>
    <w:p>
      <w:pPr>
        <w:widowControl w:val="on"/>
        <w:pBdr/>
        <w:spacing w:before="240" w:after="240" w:line="240" w:lineRule="auto"/>
        <w:ind w:left="0" w:right="0"/>
        <w:jc w:val="left"/>
      </w:pPr>
      <w:r>
        <w:rPr>
          <w:color w:val="000000"/>
          <w:sz w:val="24"/>
          <w:szCs w:val="24"/>
        </w:rPr>
        <w:t xml:space="preserve">Madácsy István, DLA</w:t>
      </w:r>
    </w:p>
    <w:p>
      <w:pPr>
        <w:widowControl w:val="on"/>
        <w:pBdr/>
        <w:spacing w:before="240" w:after="240" w:line="240" w:lineRule="auto"/>
        <w:ind w:left="0" w:right="0"/>
        <w:jc w:val="left"/>
      </w:pPr>
      <w:r>
        <w:rPr>
          <w:color w:val="000000"/>
          <w:sz w:val="24"/>
          <w:szCs w:val="24"/>
        </w:rPr>
        <w:t xml:space="preserve">A horgolással mintegy két éve kezdtem el foglalkozni, édesapám súlyosbodó cukorbetegsége és állapotának romlása idején. Számomra a technika egyfajta menedékké vált – hasonlóképpen ahhoz, ahogy nagyanyáink és dédanyáink is a kézimunkában találták a megnyugvást. A fonál mint anyag hamarabb is munkáimba férkőzte magát, először a visszakaparásos litográfiámban játszadoztam, azzal a koncepcióval, hogy egy jobb énem alakját megkötöm a belőlem szövődő fonálból. Majd a szitanyomatomba a Pótcselekvés című munkámba szőttem piros fonalat, ami a saját bántalmazásunkról szól, mint pótcselekvés, stresszlevezetés. Végül 2024 elején rézdrótot használtam fel az Apollon című munkámhoz, mivel ennek az anyagnak az idő múlásával változó jellege (oxidáció által zöldes patina képződik rajta) tökéletesen tükrözte a koncepciót.</w:t>
      </w:r>
      <w:r>
        <w:rPr>
          <w:color w:val="000000"/>
          <w:sz w:val="24"/>
          <w:szCs w:val="24"/>
        </w:rPr>
        <w:br/>
        <w:t xml:space="preserve">Édesapám 2024 márciusi váratlan halála előtti napon mellette horgoltam várva, hogy jobban legyen, talán emiatt ragaszkodom ehhez a technikához – egy utolsó közös emlék.</w:t>
      </w:r>
      <w:r>
        <w:rPr>
          <w:color w:val="000000"/>
          <w:sz w:val="24"/>
          <w:szCs w:val="24"/>
        </w:rPr>
        <w:br/>
        <w:t xml:space="preserve">Ennek hatására született meg az a felismerés, hogy ezzel a kézműves technikával nemcsak egy meleg pulcsit, hanem valami maradandót szeretnék alkotni, és ezzel talán még mindig abban az utolsó közös emlékben lehetek. Ez a technika többé vált, mint egyszerű tevékenység: egy olyan folyamat lett, amely során édesapám emléke előtt tisztelgek, és egyúttal az elengedés folyamatával is szembenézek. A hosszú horgolási folyamatok során néha úgy érzem, megáll az idő – egyes alkalmakkor akár hét órát is eltöltök anélkül, hogy felállnék a fonalam mellől. Erről az intenzív, szinte transzszerű élményről később egy animációt is készítettem, bár akkor még nem ismertem a flow-élmény fogalmát. A horgolás számomra a személyes gyászmunka és a belső béke megtalálásának eszközévé vált.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06821">
    <w:multiLevelType w:val="hybridMultilevel"/>
    <w:lvl w:ilvl="0" w:tplc="16732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06821">
    <w:abstractNumId w:val="47306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607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