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BRIGITTA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balazs.brigitta108@gmail.com</w:t>
            </w:r>
            <w:r w:rsidRPr="001067CD">
              <w:rPr>
                <w:i/>
              </w:rPr>
              <w:br/>
            </w:r>
            <w:r w:rsidR="00A96AEC">
              <w:t>Orvos- és egészségtudományi szak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KONRÁD ANDRÁS-LÁSZLÓ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akonrad326@gmail.com</w:t>
            </w:r>
            <w:bookmarkStart w:id="1" w:name="_GoBack"/>
            <w:bookmarkEnd w:id="1"/>
            <w:r w:rsidRPr="001067CD">
              <w:br/>
            </w:r>
            <w:r w:rsidR="00C275A3">
              <w:t>Orvos- és egészségtudományi szak</w:t>
            </w:r>
            <w:r w:rsidR="00A96AEC">
              <w:br/>
              <w:t>Osztatlan, 11. félév</w:t>
            </w:r>
          </w:p>
          <w:p w:rsidR="00DB4822" w:rsidRDefault="00DB4822" w:rsidP="004D7940">
            <w:pPr>
              <w:pStyle w:val="Hallgatointezmeny-kar"/>
            </w:pPr>
            <w:r>
              <w:t>Marosvásárhelyi Orvosi és Gyógyszerészeti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Török Imola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ETDK OGYK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MÁJCIRRÓZIS AKUT DEKOMPENZÁCIÓJÁNAK KIMENETELÉT BEFOLYÁSOLÓ TÉNYEZŐK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krónikus májelégtelenség; szervi elégtelenség; szövődmény; kiváltó tényező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krónikus májbetegségre rakódott akut májelégtelenség (acute-on-chronic liver failure, ACLF), a májbetegség akut dekompenzációjával járó szindróma, jellegzetessége, hogy megjelenik a májelégtelenség és legalább egy, májon kívüli szerv elégtelensége is.</w:t>
      </w:r>
      <w:r>
        <w:rPr>
          <w:color w:val="000000"/>
          <w:sz w:val="24"/>
          <w:szCs w:val="24"/>
        </w:rPr>
        <w:br/>
        <w:t xml:space="preserve">Módszer: Retrospektív tanulmányunkat 307 májcirrózisos beteg adatainak követésével végeztük, akik a Marosvásárhelyi Megyei Sürgősségi Kórház Gasztroenterológiai Osztályára voltak beutalva a 2022-es évben. Betegeinket 2 kategóriába soroltuk: akut dekompenzációval, de ACLF-rel nem rendelkező betegek és ACLF-rel rendelkező betegek, a CLIF-C ACLF pontozási rendszer alapján. Ez utóbbi, a jelenséget először leíró CANONIC (chronic liver failure (CLIF) Acute-on-Chronic Liver Failure in Cirrhosis) tanulmányból származik, amely adataival összehasonlítottuk az általunk kapottakat. Követtük a betegek korát, nemét, az artériás középnyomást, a májcirrózis kiváltó okát és a szövődmények jelenlétét. </w:t>
      </w:r>
      <w:r>
        <w:rPr>
          <w:color w:val="000000"/>
          <w:sz w:val="24"/>
          <w:szCs w:val="24"/>
        </w:rPr>
        <w:br/>
        <w:t xml:space="preserve">Eredmények: A vizsgálatba bevont betegek közül 233 (75,9%) nem rendelkezett ACLF-rel a beutaláskor, 74 (24,1%) pedig igen. A két csoport között különbözött az ascites (p&lt;0,0001), a bakteriális fertőzés (p&lt;0,0001), a tápcsatornai vérzés (p=0,006) és az enkefalopátia (p&lt;0,0001) előfordulása és az artériás középnyomás átlagértéke (p=0,0007). Adatainkat összehasonlítva a CANONIC tanulmányéval, különböztek az ACLF-rel nem rendelkezőknél a férfi nem (p=0,0002), az ascites (p&lt;0,0001), az alkoholfogyasztás (p&lt;0,0001), a hepatitis C (p=0,0004), a tápcsatornai vérzés(p&lt;0,0001) arányai és az artériás középnyomás értékei (p&lt;0,0001). Az ACLF-rel rendelkezőknél pedig az alkoholfogyasztás (p=0,02), a bakteriális fertőzés (p=0,0002), a tápcsatornai vérzés (p=0,01), az enkefalopátia (p&lt;0,0001) arányai és az artériás középnyomás értékei (p=0,03). </w:t>
      </w:r>
      <w:r>
        <w:rPr>
          <w:color w:val="000000"/>
          <w:sz w:val="24"/>
          <w:szCs w:val="24"/>
        </w:rPr>
        <w:br/>
        <w:t xml:space="preserve">Megbeszélés: Tanulmányunkban azt találtuk, hogy az artériás középnyomás értéke, az ascites, a bakteriális fertőzés és az enkefalopátia előfordulása a CANONIC tanulmányhoz hasonlóan nálunk is különbözik a két csoport között. Ami a különbségeket illeti, a CANONIC tanulmányban az átlagéletkor, az alkoholfogyasztás és a hepatitis C előfordulása különbözött a két csoport között, míg ez a mi eseteinkben nem volt szignifikáns, ugyanakkor tanulmányunkban az ACLF előfordulása kevésbé volt jellemző a tápcsatornai vérzéssel beutalt betegeknél.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045470">
    <w:multiLevelType w:val="hybridMultilevel"/>
    <w:lvl w:ilvl="0" w:tplc="655192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045470">
    <w:abstractNumId w:val="480454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48334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