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ERIKA DARÁNYI</w:t>
            </w:r>
          </w:p>
          <w:p w:rsidR="00C275A3" w:rsidRDefault="00CA6B74" w:rsidP="00C275A3">
            <w:pPr>
              <w:pStyle w:val="Hallgatokepzes"/>
            </w:pPr>
            <w:r w:rsidRPr="001067CD">
              <w:rPr>
                <w:i/>
              </w:rPr>
              <w:t>renatadaranyi33@gmail.com</w:t>
            </w:r>
            <w:r w:rsidRPr="001067CD">
              <w:rPr>
                <w:i/>
              </w:rPr>
              <w:br/>
            </w:r>
            <w:r w:rsidR="00A96AEC">
              <w:t>Business Economics</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Szőllősi</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situation of hungarian automotive industry companies between 2019 and 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Automotive industry; Concentration; Lorenz curve; Profitability; Hungary</w:t>
      </w:r>
      <w:r>
        <w:t xml:space="preserve"/>
      </w:r>
    </w:p>
    <w:p>
      <w:pPr>
        <w:widowControl w:val="on"/>
        <w:pBdr/>
        <w:spacing w:before="240" w:after="240" w:line="240" w:lineRule="auto"/>
        <w:ind w:left="0" w:right="0"/>
        <w:jc w:val="left"/>
      </w:pPr>
      <w:r>
        <w:rPr>
          <w:color w:val="000000"/>
          <w:sz w:val="24"/>
          <w:szCs w:val="24"/>
        </w:rPr>
        <w:t xml:space="preserve">THE ECONOMIC SITUATION OF HUNGARIAN AUTOMOTIVE COMPANIES BETWEEN 2019 AND 2022</w:t>
      </w:r>
    </w:p>
    <w:p>
      <w:pPr>
        <w:widowControl w:val="on"/>
        <w:pBdr/>
        <w:spacing w:before="240" w:after="240" w:line="240" w:lineRule="auto"/>
        <w:ind w:left="0" w:right="0"/>
        <w:jc w:val="left"/>
      </w:pPr>
      <w:r>
        <w:rPr>
          <w:color w:val="000000"/>
          <w:sz w:val="24"/>
          <w:szCs w:val="24"/>
        </w:rPr>
        <w:br/>
        <w:t xml:space="preserve">The automotive industry has become one of the fastest growing and highest value-added sectors, playing a prominent role in the world in economic, social and technological terms. The main purpose of this sector is the production of road vehicles, which requires highly skilled workers. Over the past decades, the Hungarian automotive industry has developed close links with the global market, while playing a significant role in the development of the European and international economy. </w:t>
      </w:r>
    </w:p>
    <w:p>
      <w:pPr>
        <w:widowControl w:val="on"/>
        <w:pBdr/>
        <w:spacing w:before="240" w:after="240" w:line="240" w:lineRule="auto"/>
        <w:ind w:left="0" w:right="0"/>
        <w:jc w:val="left"/>
      </w:pPr>
      <w:r>
        <w:rPr>
          <w:color w:val="000000"/>
          <w:sz w:val="24"/>
          <w:szCs w:val="24"/>
        </w:rPr>
        <w:t xml:space="preserve">My aim is to examine the performance of the industry over the period 2019-2022, in particular the profitability of the industry participants, and to determine the concentration of the industry. According to my first hypothesis, the majority of Hungarian enterprises are located in the more economically developed regions of the country, in Western Transdanubia and Central Hungary. My second hypothesis is that there is a high concentration in the sector defined by the 29 main activities of domestic enterprises with TEÁOR 29. And my third hypothesis is that the average profitability of most enterprises was low during the period under rewiev. To achieve my objectives, I collected secondary data using the EMIS database. From this database, I processed the main data from the reports of domestic TEÁOR 29 main activity enterprises for the period 2019-2022. The sample element number was 144. For the analysis of spatial concentration, I used enterprise data visualized using the Tableau application. For market concentration analysis, I used Lorenz curve, Gini Index and Herfindahl-Hirschmann index. Furthermore, I used different financial indicators (profitability on turnover, profitability on assets and profitability on equity) to examine the profitability of the players in the industry. </w:t>
      </w:r>
    </w:p>
    <w:p>
      <w:pPr>
        <w:widowControl w:val="on"/>
        <w:pBdr/>
        <w:spacing w:before="240" w:after="240" w:line="240" w:lineRule="auto"/>
        <w:ind w:left="0" w:right="0"/>
        <w:jc w:val="left"/>
      </w:pPr>
      <w:r>
        <w:rPr>
          <w:color w:val="000000"/>
          <w:sz w:val="24"/>
          <w:szCs w:val="24"/>
        </w:rPr>
        <w:t xml:space="preserve">The regional concentration shows that most of the companies are located in the county of Győr-Moson-Sopron. In terms of market concentration, the industry is highly concentrated. The average profitability situation of the industry's operators has fluctuated over the period under review, reflecting the challenges faced by the industry's global, European and domestic operators. From a profitability perspective, the worst year for operators was 2021. On average over the four years, 80% of operators managed to operate profitably.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34381">
    <w:multiLevelType w:val="hybridMultilevel"/>
    <w:lvl w:ilvl="0" w:tplc="59237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34381">
    <w:abstractNumId w:val="41034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262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