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PALA</w:t>
            </w:r>
          </w:p>
          <w:p w:rsidR="00C275A3" w:rsidRDefault="00CA6B74" w:rsidP="00C275A3">
            <w:pPr>
              <w:pStyle w:val="Hallgatokepzes"/>
            </w:pPr>
            <w:r w:rsidRPr="001067CD">
              <w:rPr>
                <w:i/>
              </w:rPr>
              <w:t>martinpala21@gmail.com</w:t>
            </w:r>
            <w:r w:rsidRPr="001067CD">
              <w:rPr>
                <w:i/>
              </w:rPr>
              <w:br/>
            </w:r>
            <w:r w:rsidR="00A96AEC">
              <w:t>Business Administratioan and Management</w:t>
            </w:r>
            <w:r w:rsidR="00A96AEC">
              <w:br/>
            </w:r>
            <w:r w:rsidR="00E77B23">
              <w:t>BA, 6.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Tamás Bence Tarnóczi</w:t>
            </w:r>
          </w:p>
          <w:p w:rsidR="00DB4822" w:rsidRDefault="00DB4822" w:rsidP="00BA6BAF">
            <w:pPr>
              <w:pStyle w:val="Konzulensektitulus"/>
            </w:pPr>
            <w:r w:rsidRPr="00DB4822">
              <w:t>PhD student,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Cost of living of Hungary 'in shadow of the economy growth'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inflation;purchasing power;income;social inequality;costs of living</w:t>
      </w:r>
      <w:r>
        <w:t xml:space="preserve"/>
      </w:r>
    </w:p>
    <w:p>
      <w:pPr>
        <w:widowControl w:val="on"/>
        <w:pBdr/>
        <w:spacing w:before="240" w:after="240" w:line="240" w:lineRule="auto"/>
        <w:ind w:left="0" w:right="0"/>
        <w:jc w:val="left"/>
      </w:pPr>
      <w:r>
        <w:rPr>
          <w:color w:val="000000"/>
          <w:sz w:val="24"/>
          <w:szCs w:val="24"/>
        </w:rPr>
        <w:t xml:space="preserve">The objective of this study is to analyze the effects of Hungarian inflationary processes between 2019 and 2023 on the purchasing power of average and median wages, with a particular focus on basic and non-essential consumer goods. The research sought to answer four main questions:</w:t>
      </w:r>
      <w:r>
        <w:rPr>
          <w:color w:val="000000"/>
          <w:sz w:val="24"/>
          <w:szCs w:val="24"/>
        </w:rPr>
        <w:br/>
        <w:t xml:space="preserve">1. How have earnings in Hungary changed over the researched period?</w:t>
      </w:r>
      <w:r>
        <w:rPr>
          <w:color w:val="000000"/>
          <w:sz w:val="24"/>
          <w:szCs w:val="24"/>
        </w:rPr>
        <w:br/>
        <w:t xml:space="preserve">2. How has the consumption structure evolved across different social strata?</w:t>
      </w:r>
      <w:r>
        <w:rPr>
          <w:color w:val="000000"/>
          <w:sz w:val="24"/>
          <w:szCs w:val="24"/>
        </w:rPr>
        <w:br/>
        <w:t xml:space="preserve">3. What impact has inflation had on various product groups?</w:t>
      </w:r>
      <w:r>
        <w:rPr>
          <w:color w:val="000000"/>
          <w:sz w:val="24"/>
          <w:szCs w:val="24"/>
        </w:rPr>
        <w:br/>
        <w:t xml:space="preserve">4. How many units of consumer goods could be purchased based on average and net median wages?</w:t>
      </w:r>
      <w:r>
        <w:rPr>
          <w:color w:val="000000"/>
          <w:sz w:val="24"/>
          <w:szCs w:val="24"/>
        </w:rPr>
        <w:br/>
        <w:t xml:space="preserve">The research relied on secondary data sourced from the Hungarian Central Statistical Office. The effects of inflation were evaluated using chain indices for each product group. Additionally, my new metric “Traditional Hungarian Lard Bread Index” was introduced, which examines the prices of ingredients for lard bread and their affordability relative to net average and net median wages.</w:t>
      </w:r>
      <w:r>
        <w:rPr>
          <w:color w:val="000000"/>
          <w:sz w:val="24"/>
          <w:szCs w:val="24"/>
        </w:rPr>
        <w:br/>
        <w:t xml:space="preserve">The analysis revealed that while a median-income consumer in 2019 could purchase 183 portions of lard bread per month with their full income, this number dropped to 113 by 2023. Although the real value of the median wage increased by 48,11%, this growth failed to keep pace with rising prices due to inflation. Similarly, the number of lard bread portions affordable on average wages dropped from 218 in 2019 to 143 in 2023. During the analyzed period, net average wages rose by 60.32%, exceeding the growth of net median wages, but their purchasing power also declined. This highlights the widening income gap, as average wage earners experienced less severe erosion of purchasing power compared to median wage earners.</w:t>
      </w:r>
      <w:r>
        <w:rPr>
          <w:color w:val="000000"/>
          <w:sz w:val="24"/>
          <w:szCs w:val="24"/>
        </w:rPr>
        <w:br/>
        <w:t xml:space="preserve">The consumption structure of households differed significantly between the lowest and highest income quintiles. In the lowest quintile, food and housing-related expenses accounted for 57% of consumption in 2023, compared to only 41% in the highest quintile. This illustrates the widening socio-economic gap between the first and fifth income quintiles, which continuously expanded during the researched period.</w:t>
      </w:r>
      <w:r>
        <w:rPr>
          <w:color w:val="000000"/>
          <w:sz w:val="24"/>
          <w:szCs w:val="24"/>
        </w:rPr>
        <w:br/>
        <w:t xml:space="preserve">The research—especially the Traditional Hungarian Lard bread Index—highlights the direct impact of inflation on costs of living. The findings provide crucial insights for economic policymakers, demonstrating how inflation exacerbated the burdens on lower-income households and deepened income inequalities.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4649">
    <w:multiLevelType w:val="hybridMultilevel"/>
    <w:lvl w:ilvl="0" w:tplc="19185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4649">
    <w:abstractNumId w:val="66614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289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