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TIBOR HORVATH</w:t>
            </w:r>
          </w:p>
          <w:p w:rsidR="00C275A3" w:rsidRDefault="00CA6B74" w:rsidP="00C275A3">
            <w:pPr>
              <w:pStyle w:val="Hallgatokepzes"/>
            </w:pPr>
            <w:r w:rsidRPr="001067CD">
              <w:rPr>
                <w:i/>
              </w:rPr>
              <w:t>bhorvi0807@gmail.com</w:t>
            </w:r>
            <w:r w:rsidRPr="001067CD">
              <w:rPr>
                <w:i/>
              </w:rPr>
              <w:br/>
            </w:r>
            <w:r w:rsidR="00A96AEC">
              <w:t>International Business Economics</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Laszlo Huzsvai</w:t>
            </w:r>
          </w:p>
          <w:p w:rsidR="00DB4822" w:rsidRDefault="00DB4822" w:rsidP="00BA6BAF">
            <w:pPr>
              <w:pStyle w:val="Konzulensektitulus"/>
            </w:pPr>
            <w:r w:rsidRPr="00DB4822">
              <w:t>associate professor, DE GTK</w:t>
            </w:r>
          </w:p>
        </w:tc>
      </w:tr>
      <w:tr w:rsidR="00DB4822" w:rsidTr="00DB4822">
        <w:tc>
          <w:tcPr>
            <w:tcW w:w="9854" w:type="dxa"/>
          </w:tcPr>
          <w:p w:rsidR="00DB4822" w:rsidRPr="00DB4822" w:rsidRDefault="00DB4822" w:rsidP="00BA6BAF">
            <w:pPr>
              <w:pStyle w:val="Konzulenseknev"/>
            </w:pPr>
            <w:r w:rsidRPr="00DB4822">
              <w:t>Dr. Peter Czine</w:t>
            </w:r>
          </w:p>
          <w:p w:rsidR="00DB4822" w:rsidRDefault="00DB4822" w:rsidP="00BA6BAF">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perception of inflation and its measurement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inflation; bias; measurement; perception; expectation</w:t>
      </w:r>
      <w:r>
        <w:t xml:space="preserve"/>
      </w:r>
    </w:p>
    <w:p>
      <w:pPr>
        <w:widowControl w:val="on"/>
        <w:pBdr/>
        <w:spacing w:before="240" w:after="240" w:line="240" w:lineRule="auto"/>
        <w:ind w:left="0" w:right="0"/>
        <w:jc w:val="left"/>
      </w:pPr>
      <w:r>
        <w:rPr>
          <w:color w:val="000000"/>
          <w:sz w:val="24"/>
          <w:szCs w:val="24"/>
        </w:rPr>
        <w:t xml:space="preserve">The past few decades have witnessed an increasing emphasis on the quality of statistical data. This trend has been further amplified by the global pandemic and the current unstable economic environment. The lockdowns and regulations imposed during the pandemic have drastically impacted the consumption patterns of households. The changes caused by these measures have made it much more difficult for statistical offices to collect high-quality data, while simultaneously increasing public demand for precise, easily interpretable, and frequently updated statistics.</w:t>
      </w:r>
      <w:r>
        <w:rPr>
          <w:color w:val="000000"/>
          <w:sz w:val="24"/>
          <w:szCs w:val="24"/>
        </w:rPr>
        <w:br/>
        <w:t xml:space="preserve">One of the most critical phenomena in contemporary economics is the evolution of consumer prices. The methodology of price indices is the subject of constant debate, given the constantly changing needs, the economic context and the technological developments of the 21st century, which have introduced entirely new products into the market.</w:t>
      </w:r>
      <w:r>
        <w:rPr>
          <w:color w:val="000000"/>
          <w:sz w:val="24"/>
          <w:szCs w:val="24"/>
        </w:rPr>
        <w:br/>
        <w:t xml:space="preserve">In the first part of my thesis, I will discuss the limitations of the official measurement methods used by statistical offices in accurately measuring price increases. My starting point is the inflation biases outlined in the 1996 Boskin Comission report. I examine how these biases have evolved over the time and summarize the additional challenges posed by 21st century technological advencements and global economic developments for inflation measurements.</w:t>
      </w:r>
      <w:r>
        <w:rPr>
          <w:color w:val="000000"/>
          <w:sz w:val="24"/>
          <w:szCs w:val="24"/>
        </w:rPr>
        <w:br/>
        <w:t xml:space="preserve">In the second part of my thesis, I measure consumers’ financial literacy, inflation perceptions and inflation expectations through empirical research. The primary aim of my research is to understand consumers’ perceptions of inflation and short-term inflation expectations. For my primary research, I used a survey-based method. The first part of my questionnaire evaluated the financial literacy of the respondents by means of a test I designed. Then, respondents were asked to report on their perceived inflation and their short-term inflation expectations. The survey concluded with questions on sociodemographic characteristics.</w:t>
      </w:r>
      <w:r>
        <w:rPr>
          <w:color w:val="000000"/>
          <w:sz w:val="24"/>
          <w:szCs w:val="24"/>
        </w:rPr>
        <w:br/>
        <w:t xml:space="preserve">The results suggest that almost all demographic factors had a significant impact on respondents’ inflation expectations, while the relationship between financial literacy and inflation estimates was less clear.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00595">
    <w:multiLevelType w:val="hybridMultilevel"/>
    <w:lvl w:ilvl="0" w:tplc="57394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00595">
    <w:abstractNumId w:val="726005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343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