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JOBBÁGY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anna.jobbagy13@gmail.com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Hamad Mirjam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DE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Tömöri Gergő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jövedelmezőségi mutatók szerepe az osztalékdöntések előrejelzésében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osztalékpolitika; jövedelmezőségi mutatók; cash flow alapú jövedelmezőségi mutatók; befektetői döntések; vállalatértékelés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az osztalékkifizetések a befektetők által leginkább mérvadó szempontnak minősülnek a részvénybefektetések megítélése során. Kutatásom célja volt, hogy feltárjam, hogy a különböző jövedelmezőségi mutatók változásai milyen hatással vannak az osztalékfizetésre a US GAAP-ben, illetve IFRS-ek szerint beszámolójukat készítő tőzsdei vállalatok körében. Ez a két vállalatcsoport két különböző gazdasági környezetben helyezkedik el, így célszerűnek találtam annak vizsgálatát is, hogy ez hatással van-e a két rendszer elvei szerint eredményüket prezentáló vállalatok saját tőke arányos osztalékkifizetéseinek eltéréseire.</w:t>
      </w:r>
      <w:r>
        <w:rPr>
          <w:color w:val="000000"/>
          <w:sz w:val="24"/>
          <w:szCs w:val="24"/>
        </w:rPr>
        <w:br/>
        <w:t xml:space="preserve">A szakirodalmi áttekintés során bemutatásra került a vállalatértékelés elméleti alapjai, az eredmény és a cash flow alapú jövedelmezőségi mutatók szerepe, illetve az osztalékpolitika alapkérdései.</w:t>
      </w:r>
      <w:r>
        <w:rPr>
          <w:color w:val="000000"/>
          <w:sz w:val="24"/>
          <w:szCs w:val="24"/>
        </w:rPr>
        <w:br/>
        <w:t xml:space="preserve">A kutatásomhoz felhasznált szekunder adatok a fenti indexkörbe tartozó tőzsdei vállalatok nyilvánosan elérhető pénzügyi beszámolóiból származnak. Az adatok leíró statisztikai elemzéssel történő rendszerezésével megvizsgáltam a fő jövedelmezőségi indikátorok legfőbb paramétereit a két mintasokaságban. Továbbá faktoranalízist és panelregressziós analízist alkalmaztam annak megállapítására, hogy van-e összefüggés a vállalatok jövedelmezőségi helyzete és a saját tőke arányos osztalékkifizetés között. A rendelkezésre álló számos magyarázó változót faktoranalízis segítségével redukáltuk, így az eredeti változók mögött rejlő közös tényezőket, az úgynevezett faktorokat azonosítottuk. Ezeket a faktorokat ezután panel regressziós modellben használtuk magyarázó változókként, hogy felmérjük, mely tényezők gyakorolnak hatást a saját tőke arányos osztalékkifizetésre.</w:t>
      </w:r>
      <w:r>
        <w:rPr>
          <w:color w:val="000000"/>
          <w:sz w:val="24"/>
          <w:szCs w:val="24"/>
        </w:rPr>
        <w:br/>
        <w:t xml:space="preserve">Az elemzés eredményei azt mutatták, hogy bár a DAX index körbe tartozó vállalatok esetében a cash flow alapú változókat sikerült szignifikánsként azonosítani, a teljes modell általános illeszkedése nem volt megfelelő ahhoz, hogy az eredmények alapján megbízható következtetéseket vonjunk le belőle. Ezzel szemben a DJIA körbe tartozó vállalatok esetében már kifejezetten erős kapcsolatot lehetett kimutatni a magyarázó és a függő változó között. Így az európai vállalatok osztalékpolitikájára feltételezhetően – szemben az amerikai versenytársaikkal – sokkal inkább jellemzőek voltak az óvatossági és a növekedést előtérbe helyező motívumok.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848796">
    <w:multiLevelType w:val="hybridMultilevel"/>
    <w:lvl w:ilvl="0" w:tplc="791403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848796">
    <w:abstractNumId w:val="578487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64101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