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JOBBÁGY</w:t>
            </w:r>
          </w:p>
          <w:p w:rsidR="00C275A3" w:rsidRDefault="00CA6B74" w:rsidP="00C275A3">
            <w:pPr>
              <w:pStyle w:val="Hallgatokepzes"/>
            </w:pPr>
            <w:r w:rsidRPr="001067CD">
              <w:rPr>
                <w:i/>
              </w:rPr>
              <w:t>anna.jobbagy13@gmail.com</w:t>
            </w:r>
            <w:r w:rsidRPr="001067CD">
              <w:rPr>
                <w:i/>
              </w:rPr>
              <w:br/>
            </w:r>
            <w:r w:rsidR="00A96AEC">
              <w:t>Business Administration and Management</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Mirjam Hamad</w:t>
            </w:r>
          </w:p>
          <w:p w:rsidR="00DB4822" w:rsidRDefault="00DB4822" w:rsidP="00BA6BAF">
            <w:pPr>
              <w:pStyle w:val="Konzulensektitulus"/>
            </w:pPr>
            <w:r w:rsidRPr="00DB4822">
              <w:t>senior lecturer , DE GTK</w:t>
            </w:r>
          </w:p>
        </w:tc>
      </w:tr>
      <w:tr w:rsidR="00DB4822" w:rsidTr="00DB4822">
        <w:tc>
          <w:tcPr>
            <w:tcW w:w="9854" w:type="dxa"/>
          </w:tcPr>
          <w:p w:rsidR="00DB4822" w:rsidRPr="00DB4822" w:rsidRDefault="00DB4822" w:rsidP="00BA6BAF">
            <w:pPr>
              <w:pStyle w:val="Konzulenseknev"/>
            </w:pPr>
            <w:r w:rsidRPr="00DB4822">
              <w:t>Dr. Gergő Tömöri</w:t>
            </w:r>
          </w:p>
          <w:p w:rsidR="00DB4822" w:rsidRDefault="00DB4822" w:rsidP="00BA6BAF">
            <w:pPr>
              <w:pStyle w:val="Konzulensektitulus"/>
            </w:pPr>
            <w:r w:rsidRPr="00DB4822">
              <w:t>senior lecturer ,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profitability indicators in predicting dividend decisions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dividend policy; profitability indicators; cash flow based profitability indicators; investment decisions; corporate valuation</w:t>
      </w:r>
      <w:r>
        <w:t xml:space="preserve"/>
      </w:r>
    </w:p>
    <w:p>
      <w:pPr>
        <w:widowControl w:val="on"/>
        <w:pBdr/>
        <w:spacing w:before="240" w:after="240" w:line="240" w:lineRule="auto"/>
        <w:ind w:left="0" w:right="0"/>
        <w:jc w:val="left"/>
      </w:pPr>
      <w:r>
        <w:rPr>
          <w:color w:val="000000"/>
          <w:sz w:val="24"/>
          <w:szCs w:val="24"/>
        </w:rPr>
        <w:t xml:space="preserve">Today, dividend payouts are the most important factor for investors when assessing equity investments. My research aimed to explore the impact of changes in different profitability ratios on dividend payments among listed companies reporting under US GAAP and IFRS. These two groups of companies are located in two different economic environments, so I also found it useful to study whether this has an impact on the differences in the equity-related dividend payouts of companies presenting their results under the two systems.</w:t>
      </w:r>
      <w:r>
        <w:rPr>
          <w:color w:val="000000"/>
          <w:sz w:val="24"/>
          <w:szCs w:val="24"/>
        </w:rPr>
        <w:br/>
        <w:t xml:space="preserve">The theoretical foundations of corporate valuation, the role of earnings and cash flow-based profitability ratios, and the basic issues of dividend policy were presented in the literature review.</w:t>
      </w:r>
      <w:r>
        <w:rPr>
          <w:color w:val="000000"/>
          <w:sz w:val="24"/>
          <w:szCs w:val="24"/>
        </w:rPr>
        <w:br/>
        <w:t xml:space="preserve">The secondary data used for my research are from publicly available financial reports of listed companies in the above indexes. By systematizing the data through descriptive statistical analysis, I examined the main parameters of the main profitability indicators in the two sample populations. Furthermore, I applied factor analysis and panel regression analysis to determine whether there is a relationship between the profitability position of the companies and the equity dividend payout ratio. Several available explanatory variables were reduced by factor analysis to identify common factors. These factors were then used as explanatory variables in a panel regression model to assess which factors have an impact on the equity payout ratio.</w:t>
      </w:r>
      <w:r>
        <w:rPr>
          <w:color w:val="000000"/>
          <w:sz w:val="24"/>
          <w:szCs w:val="24"/>
        </w:rPr>
        <w:br/>
        <w:t xml:space="preserve">The results of the analysis showed that, although cash flow-based variables were identified as significant for the DAX index companies, the overall fit of the entire model was not sufficient to provide reliable conclusions. In contrast, for companies in the DJIA group, a strong relationship between the explanatory and dependent variables could be detected. Thus, the dividend policy of European companies was presumably more characterized by prudence and growth motives than that of their US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04338">
    <w:multiLevelType w:val="hybridMultilevel"/>
    <w:lvl w:ilvl="0" w:tplc="378890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04338">
    <w:abstractNumId w:val="23804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4835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