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GYULAI ÁDÁM</w:t>
            </w:r>
          </w:p>
          <w:p w:rsidR="00C275A3" w:rsidRDefault="00CA6B74" w:rsidP="00C275A3">
            <w:pPr>
              <w:pStyle w:val="Hallgatokepzes"/>
            </w:pPr>
            <w:r w:rsidRPr="001067CD">
              <w:rPr>
                <w:i/>
              </w:rPr>
              <w:t>gyulai.adam14@gmail.com</w:t>
            </w:r>
            <w:r w:rsidRPr="001067CD">
              <w:rPr>
                <w:i/>
              </w:rPr>
              <w:br/>
            </w:r>
            <w:r w:rsidR="00A96AEC">
              <w:t>Pénzügy és számvitel</w:t>
            </w:r>
            <w:r w:rsidR="00A96AEC">
              <w:br/>
            </w:r>
            <w:r w:rsidR="00E77B23">
              <w:t>BA, 7.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Fenyves Veronika</w:t>
            </w:r>
          </w:p>
          <w:p w:rsidR="00DB4822" w:rsidRDefault="00DB4822" w:rsidP="00BA6BAF">
            <w:pPr>
              <w:pStyle w:val="Konzulensektitulus"/>
            </w:pPr>
            <w:r w:rsidRPr="00DB4822">
              <w:t>egyetemi tanár, DE GTK</w:t>
            </w:r>
          </w:p>
        </w:tc>
      </w:tr>
      <w:tr w:rsidR="00DB4822" w:rsidTr="00DB4822">
        <w:tc>
          <w:tcPr>
            <w:tcW w:w="9854" w:type="dxa"/>
          </w:tcPr>
          <w:p w:rsidR="00DB4822" w:rsidRPr="00DB4822" w:rsidRDefault="00DB4822" w:rsidP="00BA6BAF">
            <w:pPr>
              <w:pStyle w:val="Konzulenseknev"/>
            </w:pPr>
            <w:r w:rsidRPr="00DB4822">
              <w:t>Dr. Szenderák János</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Átgyűrűzési hatások vizsgálata a Visegrádi Négyek tőzsdeindexei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átgyűrűzési index; átgyűrűzési hatások; Visegrádi Négyek; tőzsdeindex;</w:t>
      </w:r>
      <w:r>
        <w:t xml:space="preserve"/>
      </w:r>
    </w:p>
    <w:p>
      <w:pPr>
        <w:widowControl w:val="on"/>
        <w:pBdr/>
        <w:spacing w:before="240" w:after="240" w:line="240" w:lineRule="auto"/>
        <w:ind w:left="0" w:right="0"/>
        <w:jc w:val="left"/>
      </w:pPr>
      <w:r>
        <w:rPr>
          <w:color w:val="000000"/>
          <w:sz w:val="24"/>
          <w:szCs w:val="24"/>
        </w:rPr>
        <w:t xml:space="preserve">A nemzetközi pénzügyi piacok közötti átgyűrűzési hatások, illetve a válságidőszakok alatti piaci összekapcsolódások különösen erősen befolyásolták a Visegrádi Négyek tőkepiacait az elmúlt időszakban. Dolgozatomban a Visegrádi országok, azaz Magyarország, Lengyelország, Csehország és Szlovákia legfontosabb tőzsdeindexeinek (BUX, WIG, PX és SAX) piaci összekapcsolódásait vizsgáltam 2010.01.01. és 2024.09.30. között, napi adatokon Diebold és Yilmaz átgyűrűzési (spillover) hatásindexének segítségével.</w:t>
      </w:r>
      <w:r>
        <w:rPr>
          <w:color w:val="000000"/>
          <w:sz w:val="24"/>
          <w:szCs w:val="24"/>
        </w:rPr>
        <w:br/>
        <w:t xml:space="preserve">A primer és szekunder kutatás során bemutattam a tőzsdeindexek összetételét, a meghatározó szerepet betöltő vállalatokat és iparágakat. Az elemzések során megvizsgáltam az ár- és hozam tendenciákat, majd összehasonlítottam őket, különös figyelmet fordítva a napi hozamok eloszlására, a korrelációra, illetve a napon túli árfolyamváltozások valószínűségére.</w:t>
      </w:r>
      <w:r>
        <w:rPr>
          <w:color w:val="000000"/>
          <w:sz w:val="24"/>
          <w:szCs w:val="24"/>
        </w:rPr>
        <w:br/>
        <w:t xml:space="preserve">Kutatásomban központi szerepet kapott az átgyűrűzési hatások vizsgálata, amelyekhez különböző spillover indexeket elemeztem. Az összesített spillover index segítségével megvizsgáltam az elmúlt 15 év átgyűrűzési dinamikáját. A továbbított és fogadott, illetve a nettó spillover indexekkel feltérképeztem a vizsgált piacok sokktranszmisszióját, azaz, hogy mely piacok fogadják vagy továbbítják a sokkhatásokat. A kétoldalú spillover indexekkel pedig megvizsgáltam, hogy az adott indexpárok között hogyan alakultak az átgyűrűzési hatások. Ezzel a módszerrel részletesen elemeztem a Visegrádi Négyek tőzsdeindexei közötti kapcsolatok dinamikáját, különös tekintettel az átgyűrűzési hatások változására a piaci dinamika függvényében.</w:t>
      </w:r>
      <w:r>
        <w:rPr>
          <w:color w:val="000000"/>
          <w:sz w:val="24"/>
          <w:szCs w:val="24"/>
        </w:rPr>
        <w:br/>
        <w:t xml:space="preserve">Az eredmények világosan megmutatták, hogy a régió tőzsdei piacai milyen mértékben és módon hatottak egymásra, különösen olyan válsághelyzetekben, mint a Covid-19 járvány vagy az orosz-ukrán konfliktus. A lengyel piac régiós dominanciája és kockázat-átadási képessége miatt a visegrádi kitettséggel rendelkező befektetőknek különös figyelmet kell szentelnie a lengyel gazdasági események alakulásának. Amennyiben a régióban nincsenek jelentősebb piaci sokkok, akkor a magyar és cseh tőkepiacok hosszú távon potenciálisan stabilabban viselkednek, míg a szlovák piac globális sokkokkal szembeni ellenálló képessége miatt csökkentheti a teljes portfólió kockázatát.</w:t>
      </w:r>
      <w:r>
        <w:rPr>
          <w:color w:val="000000"/>
          <w:sz w:val="24"/>
          <w:szCs w:val="24"/>
        </w:rPr>
        <w:br/>
        <w:t xml:space="preserve">Összességében az eredményeim igazolták, hogy a visegrádi piacok közötti kapcsolat és a kockázat terjedése időben változik, és az átgyűrűzési hatások fontos szerepet játszanak a régió piacainak összefüggéseiben, különösen krízisidőszakokban.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77991">
    <w:multiLevelType w:val="hybridMultilevel"/>
    <w:lvl w:ilvl="0" w:tplc="59821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77991">
    <w:abstractNumId w:val="59177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268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