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SERES MÁTÉ ZSOLT</w:t>
            </w:r>
          </w:p>
          <w:p w:rsidR="00C275A3" w:rsidRDefault="00CA6B74" w:rsidP="00C275A3">
            <w:pPr>
              <w:pStyle w:val="Hallgatokepzes"/>
            </w:pPr>
            <w:r w:rsidRPr="001067CD">
              <w:rPr>
                <w:i/>
              </w:rPr>
              <w:t>seresmate28@gmail.com</w:t>
            </w:r>
            <w:r w:rsidRPr="001067CD">
              <w:rPr>
                <w:i/>
              </w:rPr>
              <w:br/>
            </w:r>
            <w:r w:rsidR="00A96AEC">
              <w:t>Vezetés és Szervezés</w:t>
            </w:r>
            <w:r w:rsidR="00A96AEC">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Fenyves Veronika</w:t>
            </w:r>
          </w:p>
          <w:p w:rsidR="00DB4822" w:rsidRDefault="00DB4822" w:rsidP="00BA6BAF">
            <w:pPr>
              <w:pStyle w:val="Konzulensektitulus"/>
            </w:pPr>
            <w:r w:rsidRPr="00DB4822">
              <w:t>dékán, egyetemi tanár,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Munkavállalói értékpapírprogramok adózásának folyamata és kapcsolatuk az Amerikai Egyesült Államok és Magyarország között létrejött kettős adóztatás elkerüléséről szóló egyezmény megszűnésével.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Adó; Értékpapír program; OECD; Adóegyezmény</w:t>
      </w:r>
      <w:r>
        <w:t xml:space="preserve"/>
      </w:r>
    </w:p>
    <w:p>
      <w:pPr>
        <w:widowControl w:val="on"/>
        <w:pBdr/>
        <w:spacing w:before="240" w:after="240" w:line="240" w:lineRule="auto"/>
        <w:ind w:left="0" w:right="0"/>
        <w:jc w:val="left"/>
      </w:pPr>
      <w:r>
        <w:rPr>
          <w:color w:val="000000"/>
          <w:sz w:val="24"/>
          <w:szCs w:val="24"/>
        </w:rPr>
        <w:t xml:space="preserve">Mind internacionális, mind hazai szinten a munkavállalói értékpapírprogramok elengedhetetlen részévé váltak a nagyvállalatok működésében. A munkavállalók, illetve felsővezetők motiválásához, kedvező adómegtakarítási kérdésekhez, a vállalkozói szemlélet és az érdekegyezőségek fellendülésében nagy szerepet kapnak a munkavállalói értékpapírprogramok és opciós programok. Mindezeket vizsgálva fontos egy magánszemély számára, hogy nem magyarországi cég által kibocsájtott részvényeket szerezve ezen programokon belül, hogyan és milyen adókötelezettség vonatkozik rá az 1995. évi CXVII. törvény a személyi jövedelemadóról és az OECD modellegyezményeknek megfelelően, illetve az Amerikai Egyesült Államok és Magyarország között létrejött bilateriális, azaz a kettős adóztatás elkerüléséről szóló egyezmény megszűnése milyen következményeket von maga után. Maga az OECD modellegyezmények és a személyi jövedelemadó törvény külön fejezetekben taglalja ezen programok adózását, illetve a fontosabb rendelkezéseket. Mindezek mellett egy bilateriális egyezmény megszűnésének következményeit is tartalmazza. Dolgozatom fő célkitűzése annak vizsgálata, hogy a magyarországi adóügyi illetékességgel rendelkező magánszemély/munkavállalónak milyen adókötelezettsége keletkezik egy ilyen programban történő részvételekor, illetve hogyan változik az adózási folyamat az Amerikai Egyesült Államok és Magyarország között létrejött kettős adóztatás elkerüléséről szóló egyezmény terminálása után.</w:t>
      </w:r>
    </w:p>
    <w:p>
      <w:pPr>
        <w:widowControl w:val="on"/>
        <w:pBdr/>
        <w:spacing w:before="240" w:after="240" w:line="240" w:lineRule="auto"/>
        <w:ind w:left="0" w:right="0"/>
        <w:jc w:val="left"/>
      </w:pPr>
      <w:r>
        <w:rPr>
          <w:color w:val="000000"/>
          <w:sz w:val="24"/>
          <w:szCs w:val="24"/>
        </w:rPr>
        <w:br/>
        <w:t xml:space="preserve">A témámhoz kapcsolódóan szekunder kutatást végeztem el, amelynek keretében nemzetközi és hazai szakirodalmat dolgoztam fel, illetve mindezek mellett megvizsgáltam az esettanulmányok középpontjában álló vállalatok programjainak információit. Vizsgálatom alapján, továbbra is fennáll ezen programoknál az adókedvezmények hatása magyarországi adóilletékességgel rendelkező magánszemély esetében függetlenül a kettős adóztatás elkerüléséről szóló egyezmény megszűnését. Az alacsonyabb készpénzkompenzációs igény, az elérhető osztalék és árfolyamnyereség lehetősége, illetve a munkavállalói vagyonépítés és pénzügyi biztonság további pozitívumokat jelentenek a munkavállalók és a programban résztvevők számára. Mindezek mellett egy jól meghatározott munkavállalói értékpapírprogram tovább erősíti a vállalati kultúrát, növeli a vállalathoz való kötődést, és pénzügyi ösztönzést és motivációt nyújt.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91876">
    <w:multiLevelType w:val="hybridMultilevel"/>
    <w:lvl w:ilvl="0" w:tplc="33262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91876">
    <w:abstractNumId w:val="17491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602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