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ZSOLT SERES</w:t>
            </w:r>
          </w:p>
          <w:p w:rsidR="00C275A3" w:rsidRDefault="00CA6B74" w:rsidP="00C275A3">
            <w:pPr>
              <w:pStyle w:val="Hallgatokepzes"/>
            </w:pPr>
            <w:r w:rsidRPr="001067CD">
              <w:rPr>
                <w:i/>
              </w:rPr>
              <w:t>seresmate28@gmail.com</w:t>
            </w:r>
            <w:r w:rsidRPr="001067CD">
              <w:rPr>
                <w:i/>
              </w:rPr>
              <w:br/>
            </w:r>
            <w:r w:rsidR="00A96AEC">
              <w:t>Management and Leadership</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Veronika Fenyves</w:t>
            </w:r>
          </w:p>
          <w:p w:rsidR="00DB4822" w:rsidRDefault="00DB4822" w:rsidP="00BA6BAF">
            <w:pPr>
              <w:pStyle w:val="Konzulensektitulus"/>
            </w:pPr>
            <w:r w:rsidRPr="00DB4822">
              <w:t>dean,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of Taxation for Employee Stock Plans and Their Relation to the Termination of the Double Taxation Treaty Between the United States and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 Stock Program; OECD; Double Taxation Treaty; PIT</w:t>
      </w:r>
      <w:r>
        <w:t xml:space="preserve"/>
      </w:r>
    </w:p>
    <w:p>
      <w:pPr>
        <w:widowControl w:val="on"/>
        <w:pBdr/>
        <w:spacing w:before="240" w:after="240" w:line="240" w:lineRule="auto"/>
        <w:ind w:left="0" w:right="0"/>
        <w:jc w:val="left"/>
      </w:pPr>
      <w:r>
        <w:rPr>
          <w:color w:val="000000"/>
          <w:sz w:val="24"/>
          <w:szCs w:val="24"/>
        </w:rPr>
        <w:t xml:space="preserve">Both internationally and domestically, employee stock ownership programs have become an indispensable part of the operations of large corporations. These programs, as well as stock option plans, play a significant role in motivating employees and executives, addressing favorable tax-saving opportunities, and promoting entrepreneurial thinking and alignment of interests. Examining these factors, it is crucial for an individual acquiring shares issued by a non-Hungarian company through such programs to understand the tax obligations they are subject to under Hungary’s Act CXVII of 1995 on Personal Income Tax and the OECD Model Conventions. Additionally, the termination of the bilateral agreement between the United States and Hungary aimed at avoiding double taxation carries significant implications.</w:t>
      </w:r>
    </w:p>
    <w:p>
      <w:pPr>
        <w:widowControl w:val="on"/>
        <w:pBdr/>
        <w:spacing w:before="240" w:after="240" w:line="240" w:lineRule="auto"/>
        <w:ind w:left="0" w:right="0"/>
        <w:jc w:val="left"/>
      </w:pPr>
      <w:r>
        <w:rPr>
          <w:color w:val="000000"/>
          <w:sz w:val="24"/>
          <w:szCs w:val="24"/>
        </w:rPr>
        <w:br/>
        <w:t xml:space="preserve">The OECD Model Conventions and the Personal Income Tax Act contain separate chapters on the taxation of these programs, outlining the key regulations. Furthermore, the consequences of terminating a bilateral agreement are also addressed. The primary objective of my study is to analyze the tax obligations arising for Hungarian tax residents participating in such programs and to examine how the tax process changes after the termination of the bilateral agreement on avoiding double taxation between the United States and Hungary.</w:t>
      </w:r>
    </w:p>
    <w:p>
      <w:pPr>
        <w:widowControl w:val="on"/>
        <w:pBdr/>
        <w:spacing w:before="240" w:after="240" w:line="240" w:lineRule="auto"/>
        <w:ind w:left="0" w:right="0"/>
        <w:jc w:val="left"/>
      </w:pPr>
      <w:r>
        <w:rPr>
          <w:color w:val="000000"/>
          <w:sz w:val="24"/>
          <w:szCs w:val="24"/>
        </w:rPr>
        <w:br/>
        <w:t xml:space="preserve">In relation to my topic, I conducted secondary research by reviewing international and domestic literature. Additionally, I analyzed information on the programs of companies that were the focus of case studies. My analysis suggests that the benefits of tax incentives for Hungarian tax residents participating in these programs continue to exist, regardless of the termination of the double taxation agreement. The advantages include reduced demand for cash compensation, potential for dividends and capital gains, as well as opportunities for wealth building and financial security for employees and participants.</w:t>
      </w:r>
    </w:p>
    <w:p>
      <w:pPr>
        <w:widowControl w:val="on"/>
        <w:pBdr/>
        <w:spacing w:before="240" w:after="240" w:line="240" w:lineRule="auto"/>
        <w:ind w:left="0" w:right="0"/>
        <w:jc w:val="left"/>
      </w:pPr>
      <w:r>
        <w:rPr>
          <w:color w:val="000000"/>
          <w:sz w:val="24"/>
          <w:szCs w:val="24"/>
        </w:rPr>
        <w:br/>
        <w:t xml:space="preserve">Moreover, a well-structured employee stock ownership program further strengthens corporate culture, enhances employee loyalty, and provides financial incentives and motivation.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863025">
    <w:multiLevelType w:val="hybridMultilevel"/>
    <w:lvl w:ilvl="0" w:tplc="40434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863025">
    <w:abstractNumId w:val="56863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928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