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bencebiro02@gmail.com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IFRS 17 standard hatásának vizsgálata két biztosító társaság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IFRS; biztosítási szerződés; nemzetközi számvitel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2023. január 1-jén hatályba lépő IFRS 17 standard hatása egy vállalatcsoport pénzügyi kimutatásaira. Az IFRS 17 a 2005 óta érvényes IFRS 4 – Biztosítási szerződések standardot hivatott felváltani. Az IASB célja a standard kibocsátásával az volt, hogy transzparencia legyen a biztosítási szerződéseket kibocsátó gazdasági társaságok pénzügyi kimutatásai között. Ez az új beszámolási egység alapjaiban változtatja meg a biztosítási szerződésekhez kapcsolódó követelések és kötelezettségek elszámolását, a pénzügyi kimutatásoknak a formáját és tartalmát.</w:t>
      </w:r>
      <w:r>
        <w:rPr>
          <w:color w:val="000000"/>
          <w:sz w:val="24"/>
          <w:szCs w:val="24"/>
        </w:rPr>
        <w:br/>
        <w:t xml:space="preserve">Az általam vizsgált CIG Pannónia cégcsoport két vállalatán keresztül, a CIG Pannónia Nyilvánosan Működő Részvénytársaságon és a CIG Pannónia Első Magyar Általános Biztosító Zártkörűen Működő Részvénytársaságon keresztül fogom bemutatni az új standard hatását a pénzügyi kimutatások vonatkozásában. A CIG Pannónia Nyrt. egy tőzsdén jegyzett vállalat, emiatt az IFRS-ek szerint köteles elkészíteni a pénzügyi kimutatásait. A kutatásom célkitűzése feltérképezni azt, hogy mekkora és milyen minőségű változást okozott a CIG Pannónia cégcsoport pénzügyi kimutatásaiban az új standard. Az előzetes feltételezéseim szerint jelentős eltérést okozott a biztosítási szerződések elszámolására vonatkozó standard az általam elemzett cégcsoport kimutatásaiban. A dokumentumelemzéssel végrehajtott kutatásom során többféle pénzügyi kimutatást is vizsgáltam. Elsősorban a mérlegben, illetve az átfogó eredménykimutatásban tapasztalható változásokat vizsgáltam az érintett vállalatoknál. A dolgozatomban valamennyi felállított hipotézist elutasítottam.</w:t>
      </w:r>
      <w:r>
        <w:rPr>
          <w:color w:val="000000"/>
          <w:sz w:val="24"/>
          <w:szCs w:val="24"/>
        </w:rPr>
        <w:br/>
        <w:t xml:space="preserve">Ezzel egyidejűleg megállapítottam, hogy az IFRS 4 standardhoz képest az IFRS 17 standard jelentős előrelépést jelent, ugyanis átláthatóságot biztosít a pénzügyi kimutatások felhasználói számára, egyértelműsíti az aktuális tárgyévben elszámolható bevételek és ráfordítások mértékét, előtérbe kerül a CSM (szerződéses szolgáltatási profit), amely a biztosítók egyik legfontosabb mutatója, indikátora a jelenben, valamint a pénzügyi kimutatások formáját, tartalmát alapjaiban változtatta meg az új standard.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58054">
    <w:multiLevelType w:val="hybridMultilevel"/>
    <w:lvl w:ilvl="0" w:tplc="7778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58054">
    <w:abstractNumId w:val="694580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644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