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zolimaj.11@gmail.com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Tőkés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hatalom pillérei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hatalom, hegemónia, nemzetközi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 nemzetközi kapcsolatrendszerének vizsgálata hosszú történelemmel rendelkező kérdések sorozatával gazdagította sok különböző társadalomtudományt gyakorló szakember életét. Világunk megértéséhez szükséges eszközök, a kérdésekre adott válaszok egy olyan interdiszciplináris utazás részei, melynek során felfedhetjük a hatalmak működésének és viselkedésének komplexitását, ezáltal magyarázatot kaphatunk arra vonatkozóan, hogy a közelmúlt nemzetközi kapcsolatai milyen módon változtak és érték el mai formájukat, illetve, hogy a jövő folyamán ebben a keretrendszerben a hatalmak számára milyen ajtók állnak nyitva, illetve milyen akadályokat kell leküzdeniük a hegemóniáért vezető úton.</w:t>
      </w:r>
      <w:r>
        <w:rPr>
          <w:color w:val="000000"/>
          <w:sz w:val="24"/>
          <w:szCs w:val="24"/>
        </w:rPr>
        <w:br/>
        <w:t xml:space="preserve">Ezen tanulmány során betekintést nyerhetünk a hatalmak alapjait képező tényezők, úgynevezett „pillérek”, sajátos felépítésébe, ezen keresztül magyarázatot kaphatunk arra, hogy a különböző politikai entitások, környezetüktől és célrendszereiktől függően milyen prioritásokkal rendelkeznek, milyen lehetőségek tárulnak eléjük, illetve milyen veszélyekkel kell szembenézniük. Ennek érdekében a pillérek különálló vizsgálata statisztikai elemzésen keresztül összevetésre kerül a kor olyan geopolitikai és nemzetközi gazdaságtani szakértőinek gondolataival, a közelmúlt történelmi eseményeinek vizsgálatával, melyből a pillérek természetére vonatkozó következtetések vonhatók le.</w:t>
      </w:r>
      <w:r>
        <w:rPr>
          <w:color w:val="000000"/>
          <w:sz w:val="24"/>
          <w:szCs w:val="24"/>
        </w:rPr>
        <w:br/>
        <w:t xml:space="preserve">A négy pillér, a hadászat, a gazdaság, az ideológia és a kormányzat egymástól rendkívül különböző formában megtestesülő pillérek. Némely prioritása konstans, míg másoké reakciószerű, és bár minden pillér egyedi értéket képvisel aktív és passzív módon, a modern nemzetközi környezetben uralkodó trendek, mint a kereskedelem és a tőkeáramlás hálózatának kiterjedése a globalizáció által, kiemelik a pillérek közötti harmónia fontosságát. A hatalom érvényesüléséhez az egyes pillérek megléte szükséges, azonban nem elégséges feltétel, ehhez minden egyes pillérre szükség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27579">
    <w:multiLevelType w:val="hybridMultilevel"/>
    <w:lvl w:ilvl="0" w:tplc="73005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27579">
    <w:abstractNumId w:val="21927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078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