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KISS</w:t>
            </w:r>
          </w:p>
          <w:p w:rsidR="00C275A3" w:rsidRDefault="00CA6B74" w:rsidP="00C275A3">
            <w:pPr>
              <w:pStyle w:val="Hallgatokepzes"/>
            </w:pPr>
            <w:r w:rsidRPr="001067CD">
              <w:rPr>
                <w:i/>
              </w:rPr>
              <w:t>zolimaj.11@gmail.com</w:t>
            </w:r>
            <w:r w:rsidRPr="001067CD">
              <w:rPr>
                <w:i/>
              </w:rPr>
              <w:br/>
            </w:r>
            <w:r w:rsidR="00A96AEC">
              <w:t>International business and economics</w:t>
            </w:r>
            <w:r w:rsidR="00A96AEC">
              <w:br/>
            </w:r>
            <w:r w:rsidR="00E77B23">
              <w:t>MA, 4.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Tibor Tőkés</w:t>
            </w:r>
          </w:p>
          <w:p w:rsidR="00DB4822" w:rsidRDefault="00DB4822" w:rsidP="00BA6BAF">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Pillars of power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power, hegemony, international</w:t>
      </w:r>
      <w:r>
        <w:t xml:space="preserve"/>
      </w:r>
    </w:p>
    <w:p>
      <w:pPr>
        <w:widowControl w:val="on"/>
        <w:pBdr/>
        <w:spacing w:before="240" w:after="240" w:line="240" w:lineRule="auto"/>
        <w:ind w:left="0" w:right="0"/>
        <w:jc w:val="left"/>
      </w:pPr>
      <w:r>
        <w:rPr>
          <w:color w:val="000000"/>
          <w:sz w:val="24"/>
          <w:szCs w:val="24"/>
        </w:rPr>
        <w:t xml:space="preserve">The research of contemporary international relations has bestoved a long line of question upon social scientists throughout history. The tools necessary for the understanding of our world, the answers given to questions are all part of an interdisciplinary voyage, during which we have a chance to explore the complexity of great power workings and behaviour, as such we may find an explanation how modern international relations shaped and reached their zenith, and what opportunities and dangers lie in front of great powers ont he journey towards hegemony.</w:t>
      </w:r>
      <w:r>
        <w:rPr>
          <w:color w:val="000000"/>
          <w:sz w:val="24"/>
          <w:szCs w:val="24"/>
        </w:rPr>
        <w:br/>
        <w:t xml:space="preserve">During this research we will have the chance to closely examine the „pillars”, which predetermine the priorities, opportunities and risks of power. For this reason, the research of these pillars through statistical means will be compared to thoughts and works of contemporary experts in geopolitics and international economics, recent historical event, of which we may be able to draw conclusions regarding the nature of said pillars.</w:t>
      </w:r>
      <w:r>
        <w:rPr>
          <w:color w:val="000000"/>
          <w:sz w:val="24"/>
          <w:szCs w:val="24"/>
        </w:rPr>
        <w:br/>
        <w:t xml:space="preserve">The four pillars, which are, military, economy, ideology and governance are significantly different pillars. Some of their priorities remain constant, while others are dynamic, and while each of them hold individual value in a passive and active way, the trend experienced in modern international relations, such as the increase in trade and capital networks through globalisation, raise the importance of harmony between pillars. The presence of each individual pillar is necessary but not sufficient for hegemony, for this all pillars are necessary.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452047">
    <w:multiLevelType w:val="hybridMultilevel"/>
    <w:lvl w:ilvl="0" w:tplc="493135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452047">
    <w:abstractNumId w:val="444520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74862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