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KÜZMÖS SZEMIRÁMISZ VANESSZA</w:t>
            </w:r>
          </w:p>
          <w:p w:rsidR="00C275A3" w:rsidRDefault="00CA6B74" w:rsidP="00C275A3">
            <w:pPr>
              <w:pStyle w:val="Hallgatokepzes"/>
            </w:pPr>
            <w:r w:rsidRPr="001067CD">
              <w:rPr>
                <w:i/>
              </w:rPr>
              <w:t>kuzmos.szemiramisz.vanessza@gmail.com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Elek Balázs</w:t>
            </w:r>
          </w:p>
          <w:p w:rsidR="00DB4822" w:rsidRDefault="00DB4822" w:rsidP="00BA6BAF">
            <w:pPr>
              <w:pStyle w:val="Konzulensektitulus"/>
            </w:pPr>
            <w:r w:rsidRPr="00DB4822">
              <w:t>egyetemi tanár,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intelligencia és a gépiesített bírósági döntéshozatal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Bírósói meggyőződés; Jogorvoslati problémák; Emberi tényezők; Gépi bírók kockázata.</w:t>
      </w:r>
      <w:r>
        <w:t xml:space="preserve"/>
      </w:r>
    </w:p>
    <w:p>
      <w:pPr>
        <w:widowControl w:val="on"/>
        <w:pBdr/>
        <w:spacing w:before="240" w:after="240" w:line="240" w:lineRule="auto"/>
        <w:ind w:left="0" w:right="0"/>
        <w:jc w:val="left"/>
      </w:pPr>
      <w:r>
        <w:rPr>
          <w:color w:val="000000"/>
          <w:sz w:val="24"/>
          <w:szCs w:val="24"/>
        </w:rPr>
        <w:t xml:space="preserve">Kritikai oldalról közelitem meg azt a felvetést, miszerint a bíróság helyettesíthető a mesterséges intelligencia által. Arra jutottam, hogy az átláthatóság, az ellenőrzés biztosítása egyik esetben sem tudta nélkülözni az emberi tényezőt. A bíróság döntése nem egy egyszerű matematikai képlet, nemcsak mintázatok, statisztikai eredmények, ugyanis ezek a döntések minden ügy esetében egyedi értékbírálat alá esik. A büntető ügyek a büntetőeljárások magukban rejtik azt a különlegességet, amely tekintetében emberi életekről, sorsokról döntenek, egyfajta törvényi elégtételt gyakorolva, ahol alkotmányos garanciák biztosítják a döntések jogszerűségét. Az MI esetében nem tudunk megfelelő biztosítékokat felállítani a döntéseinek hibáira, azok orvoslására, a megbízhatóságára, vagy a legitimitás erősítésére. Dolgozatom célja, hogy bebizonyítsam szükségünk van hús-vér bírókra, és nem az MI hasznosságát kérdőjelezem meg. A hatékonyság, gyorsaság tekintetében rengeteg előnyel jár, de nem szabad felborítani azon prioritásokat, amelyek akár a védelem oldaláról nézve is elsőbbséget élveznek. Az a rengeteg elsajátított ismeret, a sok évnyi tapasztalat és az a társadalmi státusz, amit a bíró képvisel nem váltható fel teljes egészben. A bírói meggyőződés nem lehet leegyszerűsíteni mintákra, képletekre, az indokolási kötelezettséget statisztikai válaszokká. Attól sem vonatkoztathatunk el, hogy az elkövetőket nem szabad egyformán kezelni, a szocializációs különbségek miatt, a gondolkodásmódjuk, a felfogásuk eltérő, ezért a velük szembeni fellépést differenciálni kell. Nem lehet egy mintázat alapján, elfogadni az MI által helyesnek vélt döntéseket, mert teljesen más hatást váltanak ki ezen körülmények, következmények. Az MI döntései esetében nem beszélhetünk konkrétan felelősségről, vagy a még kiforratlan jogorvoslatról. Ahhoz, hogy ezek előtérbe kerüljenek biztosítani kell az átláthatóságot (döntés folyamata, visszakövethetősége és szükség esetén a hibák felelősének azonosítását), etikai kódexek, biztonságos használat uniós szintű szabályozása, az MI-re vonatkozóan, ellenőrzést a gépi önkényesség ellen. A felelősség tekintetében az emberi felelősségvállalás nem szűnhet meg teljesen! De kire hárítsuk? Gyártókra, fejlesztőkre, felhasználókra a vádra, az államra vagy egyszerűen csak hozzunk létre egy MI felelősségi alapot biztosítási jelleggel, amelyből folyna a kárpótlás vagy kártérítés, vagy magát a MI-t ruházzuk fel valami személyiséggel, de hogy és milyen következményekkel.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04773">
    <w:multiLevelType w:val="hybridMultilevel"/>
    <w:lvl w:ilvl="0" w:tplc="65308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04773">
    <w:abstractNumId w:val="44104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858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