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JUSTYÁK VERONIKA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justyakveronika@gmail.com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Elek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Mesterséges intelligencia a büntetőeljárásban: Az igazságszolgáltatás átalakítása a technológia segítségével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mesterséges intelligencia; bírói döntéshozatal; etikai dilemmák; jogi szabályozás; adatvédelmi kihívások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mesterséges intelligencia (MI) térnyerése nem csupán technológiai, hanem jogi és társadalmi</w:t>
      </w:r>
      <w:r>
        <w:rPr>
          <w:color w:val="000000"/>
          <w:sz w:val="24"/>
          <w:szCs w:val="24"/>
        </w:rPr>
        <w:br/>
        <w:t xml:space="preserve">szempontból is mélyreható változásokat hozott. Dolgozatomban a mesterséges intelligencia</w:t>
      </w:r>
      <w:r>
        <w:rPr>
          <w:color w:val="000000"/>
          <w:sz w:val="24"/>
          <w:szCs w:val="24"/>
        </w:rPr>
        <w:br/>
        <w:t xml:space="preserve">alkalmazásának lehetőségeit, korlátait és veszélyeit vizsgáltam a jogi környezetben, különös</w:t>
      </w:r>
      <w:r>
        <w:rPr>
          <w:color w:val="000000"/>
          <w:sz w:val="24"/>
          <w:szCs w:val="24"/>
        </w:rPr>
        <w:br/>
        <w:t xml:space="preserve">tekintettel a magyar és európai szabályozásra. A kutatás célja annak feltárása volt, hogy az MI</w:t>
      </w:r>
      <w:r>
        <w:rPr>
          <w:color w:val="000000"/>
          <w:sz w:val="24"/>
          <w:szCs w:val="24"/>
        </w:rPr>
        <w:br/>
        <w:t xml:space="preserve">hogyan befolyásolja az igazságszolgáltatás működését, a bírói döntéshozatal folyamatát,</w:t>
      </w:r>
      <w:r>
        <w:rPr>
          <w:color w:val="000000"/>
          <w:sz w:val="24"/>
          <w:szCs w:val="24"/>
        </w:rPr>
        <w:br/>
        <w:t xml:space="preserve">valamint milyen szabályozási kihívások és etikai dilemmák merülnek fel ennek kapcsán.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első része történeti áttekintést nyújtott a mesterséges intelligencia fejlődéséről és</w:t>
      </w:r>
      <w:r>
        <w:rPr>
          <w:color w:val="000000"/>
          <w:sz w:val="24"/>
          <w:szCs w:val="24"/>
        </w:rPr>
        <w:br/>
        <w:t xml:space="preserve">nemzetközi alkalmazási példáiról, különös tekintettel a német és magyar jogrendszerben való</w:t>
      </w:r>
      <w:r>
        <w:rPr>
          <w:color w:val="000000"/>
          <w:sz w:val="24"/>
          <w:szCs w:val="24"/>
        </w:rPr>
        <w:br/>
        <w:t xml:space="preserve">megjelenésére. Az MI technológiák, mint például az fMRI és a hazugságvizsgálat</w:t>
      </w:r>
      <w:r>
        <w:rPr>
          <w:color w:val="000000"/>
          <w:sz w:val="24"/>
          <w:szCs w:val="24"/>
        </w:rPr>
        <w:br/>
        <w:t xml:space="preserve">kombinációja, olyan innovációkat mutatnak, amelyek egyszerre ígéretesek és veszélyesek,</w:t>
      </w:r>
      <w:r>
        <w:rPr>
          <w:color w:val="000000"/>
          <w:sz w:val="24"/>
          <w:szCs w:val="24"/>
        </w:rPr>
        <w:br/>
        <w:t xml:space="preserve">mivel alááshatják a közvetlenség elvét és torzíthatják a bírói meggyőződést.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 külön kitért azokra a konkrét kihívásokra, amelyek az MI jogi alkalmazásával</w:t>
      </w:r>
      <w:r>
        <w:rPr>
          <w:color w:val="000000"/>
          <w:sz w:val="24"/>
          <w:szCs w:val="24"/>
        </w:rPr>
        <w:br/>
        <w:t xml:space="preserve">kapcsolatosak, például az adatok anonimizálására, az ügyek súlyozására, valamint az MI és</w:t>
      </w:r>
      <w:r>
        <w:rPr>
          <w:color w:val="000000"/>
          <w:sz w:val="24"/>
          <w:szCs w:val="24"/>
        </w:rPr>
        <w:br/>
        <w:t xml:space="preserve">nem MI alapú szoftverek közötti különbségekre. Emellett a szabályozási dilemmák</w:t>
      </w:r>
      <w:r>
        <w:rPr>
          <w:color w:val="000000"/>
          <w:sz w:val="24"/>
          <w:szCs w:val="24"/>
        </w:rPr>
        <w:br/>
        <w:t xml:space="preserve">középpontjában a szabályozás és betiltás közötti egyensúlykeresés állt, amelyet magyar és EU</w:t>
      </w:r>
      <w:r>
        <w:rPr>
          <w:color w:val="000000"/>
          <w:sz w:val="24"/>
          <w:szCs w:val="24"/>
        </w:rPr>
        <w:br/>
        <w:t xml:space="preserve">s jogszabályok tükrében vizsgáltam.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Végső következtetéseim szerint a mesterséges intelligencia a bírói döntéshozatal támogató</w:t>
      </w:r>
      <w:r>
        <w:rPr>
          <w:color w:val="000000"/>
          <w:sz w:val="24"/>
          <w:szCs w:val="24"/>
        </w:rPr>
        <w:br/>
        <w:t xml:space="preserve">eszközeként hatékony lehet, de alkalmazása csak szigorú etikai és jogi keretek között</w:t>
      </w:r>
      <w:r>
        <w:rPr>
          <w:color w:val="000000"/>
          <w:sz w:val="24"/>
          <w:szCs w:val="24"/>
        </w:rPr>
        <w:br/>
        <w:t xml:space="preserve">valósítható meg. Az MI nem helyettesítheti az emberi meggyőződést és erkölcsi felelősséget,</w:t>
      </w:r>
      <w:r>
        <w:rPr>
          <w:color w:val="000000"/>
          <w:sz w:val="24"/>
          <w:szCs w:val="24"/>
        </w:rPr>
        <w:br/>
        <w:t xml:space="preserve">különösen az igazságszolgáltatás területén, ahol minden döntésnek messzemenő társadalmi</w:t>
      </w:r>
      <w:r>
        <w:rPr>
          <w:color w:val="000000"/>
          <w:sz w:val="24"/>
          <w:szCs w:val="24"/>
        </w:rPr>
        <w:br/>
        <w:t xml:space="preserve">hatásai vannak.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egy átfogó képet nyújt arról, hogy a mesterséges intelligencia miként formálhatja a</w:t>
      </w:r>
      <w:r>
        <w:rPr>
          <w:color w:val="000000"/>
          <w:sz w:val="24"/>
          <w:szCs w:val="24"/>
        </w:rPr>
        <w:br/>
        <w:t xml:space="preserve">jövő jogi környezetét, miközben rávilágít azokra a kockázatokra is, amelyek alááshatják a</w:t>
      </w:r>
      <w:r>
        <w:rPr>
          <w:color w:val="000000"/>
          <w:sz w:val="24"/>
          <w:szCs w:val="24"/>
        </w:rPr>
        <w:br/>
        <w:t xml:space="preserve">jogbiztonságot és az igazságszolgáltatás integritását.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Kutatásom során rendszereztem és összehasonlítottam az MI jogi alkalmazásának nemzetközi</w:t>
      </w:r>
      <w:r>
        <w:rPr>
          <w:color w:val="000000"/>
          <w:sz w:val="24"/>
          <w:szCs w:val="24"/>
        </w:rPr>
        <w:br/>
        <w:t xml:space="preserve">és hazai példáit, különös figyelmet fordítva a szabályozási keretek elemzésére. Újszerű</w:t>
      </w:r>
      <w:r>
        <w:rPr>
          <w:color w:val="000000"/>
          <w:sz w:val="24"/>
          <w:szCs w:val="24"/>
        </w:rPr>
        <w:br/>
        <w:t xml:space="preserve">megközelítésem az MI és a bírói meggyőződés összefüggéseinek bemutatásában, valamint az</w:t>
      </w:r>
      <w:r>
        <w:rPr>
          <w:color w:val="000000"/>
          <w:sz w:val="24"/>
          <w:szCs w:val="24"/>
        </w:rPr>
        <w:br/>
        <w:t xml:space="preserve">MI etikai dilemmáinak rendszerezésében mutatkozott meg. Eredményeim hozzájárulhatnak a</w:t>
      </w:r>
      <w:r>
        <w:rPr>
          <w:color w:val="000000"/>
          <w:sz w:val="24"/>
          <w:szCs w:val="24"/>
        </w:rPr>
        <w:br/>
        <w:t xml:space="preserve">mesterséges intelligencia felelős jogi integrációjához.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797433">
    <w:multiLevelType w:val="hybridMultilevel"/>
    <w:lvl w:ilvl="0" w:tplc="567551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797433">
    <w:abstractNumId w:val="797974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64792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