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eszter.mag.pupart@gmail.com</w:t>
            </w:r>
            <w:r w:rsidRPr="001067CD">
              <w:rPr>
                <w:i/>
              </w:rPr>
              <w:br/>
            </w:r>
            <w:r w:rsidR="00A96AEC">
              <w:t>Színháztudomány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Domokos Johanna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Önismereti kísérlet - A részvételiség és a ritualitás elemeinek vizsgálata egy alkotófolyamat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részvételiség; ritualitás; anyag animáció; interdiszciplináris; 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Önismereti kísérlet - a részvételiség és a ritualitás elemeinek vizsgálata egy alkotófolyamat során című tudományos dolgozatomban interdiszciplináris megközelítéssel kezelem a kutatni kívánt témámat. A dolgozat a két kulcsfogalom meghatározásával, és különböző elméletek összevetése alapján történő definiálásával kezdődik. A két műfaj hasonlóságait ebben a részben és a későbbiekben is elsősorban a befogadóikkal való kapcsolatukon keresztül vizsgálom, hiszen mind a kettő, a klasszikus polgári színháztól eltérő módon aktív, cselekvő helyzetbe teszi nézőit.</w:t>
      </w:r>
      <w:r>
        <w:rPr>
          <w:color w:val="000000"/>
          <w:sz w:val="24"/>
          <w:szCs w:val="24"/>
        </w:rPr>
        <w:br/>
        <w:t xml:space="preserve">Ezután egy általam megvalósított projekt létrehozásának állomásait kezdem el elemezni, kitérve az előzetes kutatásokra, az alkotói szakaszra, a véglegesítési fázisra, valamint a visszajelzésekre. Ennek során rámutatok az egyes alkotóelemek részvételi- és rituális mozzanataira. Mivel az elemzett ProjectMorpheo egy olyan részvételi esemény, amely az alvás fontosságára és az álmok jelentésére hivatott felhívni a résztvevők figyelmét, nem kis mértékben érinti a pszichológia területét, s erről a dolgozatban is adok egy rövid áttekintést.</w:t>
      </w:r>
      <w:r>
        <w:rPr>
          <w:color w:val="000000"/>
          <w:sz w:val="24"/>
          <w:szCs w:val="24"/>
        </w:rPr>
        <w:br/>
        <w:t xml:space="preserve">A hipotézisben felvetem, hogy a ritualitás és a részvételiség eszközeinek használata művészeti események során hasonló hatások kiváltására alkalmas. Ezt a dolgozatban felvetett szempontrendszer szerint be is bizonyítom a bemutatott hasonlóságok, példák és saját tapasztalatomból- , vagy épp szakirodalomból kölcsönzött érvek segítségével. Ezekből levonva a következtetést felvázolom, hogy miért és mennyiben kíván azonos jellegű alkotói attitűdöt a két műfaj alkalmazása.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67133">
    <w:multiLevelType w:val="hybridMultilevel"/>
    <w:lvl w:ilvl="0" w:tplc="80623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67133">
    <w:abstractNumId w:val="329671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159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