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TRENKA ZSOMBOR BARNABÁS</w:t>
            </w:r>
          </w:p>
          <w:p w:rsidR="00C275A3" w:rsidRDefault="00CA6B74" w:rsidP="00C275A3">
            <w:pPr>
              <w:pStyle w:val="Hallgatokepzes"/>
            </w:pPr>
            <w:r w:rsidRPr="001067CD">
              <w:rPr>
                <w:i/>
              </w:rPr>
              <w:t>zsombor.trenka@gmail.com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Arató Balázs</w:t>
            </w:r>
          </w:p>
          <w:p w:rsidR="00DB4822" w:rsidRDefault="00DB4822" w:rsidP="00BA6BAF">
            <w:pPr>
              <w:pStyle w:val="Konzulensektitulus"/>
            </w:pPr>
            <w:r w:rsidRPr="00DB4822">
              <w:t>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mesterséges intelligencia károkozása; felelősség és bizonyítás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kártérítés, felelősség, bizonyítás</w:t>
      </w:r>
      <w:r>
        <w:t xml:space="preserve"/>
      </w:r>
    </w:p>
    <w:p>
      <w:pPr>
        <w:widowControl w:val="on"/>
        <w:pBdr/>
        <w:spacing w:before="240" w:after="240" w:line="240" w:lineRule="auto"/>
        <w:ind w:left="0" w:right="0"/>
        <w:jc w:val="left"/>
      </w:pPr>
      <w:r>
        <w:rPr>
          <w:color w:val="000000"/>
          <w:sz w:val="24"/>
          <w:szCs w:val="24"/>
        </w:rPr>
        <w:t xml:space="preserve">Kutatásom középpontjában a mesterséges intelligencia károkozása és ennek esetére szóló felelősségi terhek eloszlása áll. Ennek okán tárgyalásra kerültek Európai Uniós szabályozások, Európai Bizottsági állásfoglalások, nemzetközi, illetve hazai jogszabályok az MI sajátosságaira tekintettel. A dolgozat során kifejtésre került, miért terhelheti az egyént a polgári jog szerinti kártérítési felelősség az egyes polgári jogi intézmények vonatkozásában, különös tekintettel a mesterséges intelligencia organikus fejlődési képességére. E tárgykörben indokoltam ezen tulajdonság kiiktatásának okszerűségét, megvalósítási módját. Erre tekintettel megalkottam egy speciális Vis maior fogalmat az MI működése során esetlegesen fellépő informatikai hibák vonatkozásában. Mindez meglátásom azért szükséges, mert olyan kiszámíthatatlanságot idéz elő az MI fejlődési képessége, amely ellehetetlenítené a kártérítési felelősség megállapítását, ezáltal a károsultak térítés nélkül maradását eredményezve. Ugyanakkor éppen ennek ellenkezője is megvalósulhat, a károkozók túlzott felelősségi teher alá helyezésével. Ezen törekvések megvalósításának eszközeként tárgyaltam az érdek alapú megközelítést, amely alapján az felel a mesterséges intelligencia által okozott károkért, akinek az érdekében a rendszer hasznot hajt. E körben felállítva azon megdönthető vélelmet, miszerint: a mesterséges intelligencia üzemeltetője - mint közvetlen haszonszerző - felel az okozott károkért. A hibás teljesítés vonatkozásában is indokoltnak tartottam ugyan ezen okból kifolyólag egy megdönthetetlen vélelem felállítását, amely alapján: a felek tisztában vannak a mesterséges intelligencia organikus fejlődési képességével, ezáltal az ebből fakadó károkért nem terheli őket a felelősség. Az említett Vis maior fogalom pedig megteremti az informatikai hibákból eredő károk elhárításának lehetőségét, kiküszöbölve a károkozók indokolatlan felelősségre vonását. Továbbá megállapításra került az expertek felelősségének kizárása, valamint az egyetemleges felelősség kérdésköre az egymásba implementált mesterséges intelligenciák esetében. A bizonyítási nehézségek vonatkozásában, pedig a károkozói oldalon együttműködési kötelezettséget irányoztam elő tekintettel a szakértelemre, amellyel a károsult nem rendelkezik. Megoldva ezáltal a mesterséges intelligenciával kapcsolatban főként károsulti oldalon fellépő bizonyítási nehézségeket.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00510">
    <w:multiLevelType w:val="hybridMultilevel"/>
    <w:lvl w:ilvl="0" w:tplc="14522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00510">
    <w:abstractNumId w:val="89300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4514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