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CSINTALAN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csizoli400@gmail.com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Fehér Lóránt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megbízott oktató,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Kókai-Kunné Dr. Szabó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megbízott oktató, címzetes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mezőgazdasági és nem mezőgazdasági ingatlan tulajdonjogának megszerzésének összehasonlító szabályai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mezőgazdasági ingatlan, földforgalmi szabályozás, tulajdonjog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leíró, magyarázó és összehasonlító jelleggel bemutatom a nem mezőgazdasági ingatlanokra és a mezőgazdasági ingatlanokra vonatkozó hazai jogi szabályozást Európai Uniós kitekintéssel.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I. és II. fejezete áttekintést ad az Európai Unió Alapjogi Chartája és az Alaptörvény tulajdonjogra vonatkozó rendelkezéseiről, valamint a 2013. évi törvény, a Polgári Törvénykönyv tulajdonjogra vonatkozó fogalmi meghatározásáról, annak tartalmáról, a Ptk. szerinti eredeti és származékos tulajdonszerzési módokról, de nem pusztán dologi, hanem a kötelmi jogi aspektusokból is. A III. fejezet elemzi a mezőgazdasági ingatlanok sajátosságaira és mindezekkel összefüggésben a mezőgazdasági tevékenységre, művelési ágra és hasznosítási kötelezettségre vonatkozó szabályokat. Statisztikai adatokkal szemléltetem a mezőgazdasági ingatlanok speciális és szigorú szabályozásának és az Alaptörvény P) cikkében való történelmi jelentőségű deklarálásának indokoltságát. Kutatásom nem pusztán a jogszabályok, hanem az Alkotmánybíróság döntéseinek és a Nemzeti Agrárgazdasági Kamara tevékenységének a vizsgálatára is kiterjedt. A kutatás során igazolást nyert, hogy hazánkban kiemelt természeti, gazdasági és társadalmi jelentőséget tulajdonítanak a mezőgazdasági ingatlanoknak. A IV. fejezet áttekintést ad a mezőgazdasági ingatlanokra vonatkozó speciális földforgalmi szabályokról. Az V. fejezet ismerteti az EU kapcsolatát, hatását a tagállami földforgalmi szabályokra.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eredményeit a VI. fejezet Összehasonlító elemzésének megállapításai tartalmazzák. A mezőgazdasági ingatlanok tulajdonszerzésével kapcsolatban jelentős eltérések vannak, hiszen ahol mezőgazdasági tevékenységet folytatnak, igény van erre a társadalom érintett rétegéinél. A Ptk. szerinti tulajdonszerzési módok kiindulópontot adnak, de a termőföld kiemelt jelentősége miatt a földforgalmi szabályok jóval szigorúbbak.</w:t>
      </w:r>
      <w:r>
        <w:rPr>
          <w:color w:val="000000"/>
          <w:sz w:val="24"/>
          <w:szCs w:val="24"/>
        </w:rPr>
        <w:br/>
        <w:t xml:space="preserve">Összefoglalva a jogalkotó szigorúbb feltételeket állít fel a jogalanyok, jogcímek és jóváhagyásuk esetében. Mindezek megvalósulását láthatjuk az általam a hasonlóságok és különbségek mentén górcső alá vett: adásvétel, elővásárlási jog, csere-ajándékozás, elbirtoklás, kisajátítás és öröklés esetében. A kutatást átfogó, három, de lege ferenda javaslattal zártam.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94754">
    <w:multiLevelType w:val="hybridMultilevel"/>
    <w:lvl w:ilvl="0" w:tplc="34572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94754">
    <w:abstractNumId w:val="775947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3263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