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TARJÁNI-NAGY ZSÓFIA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tnagyzsofi44@gmail.com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Köbel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Hatékony jogorvoslatnak minősül-e az alkotmányjogi panasz?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alkotmányjogi panasz, Emberi Jogok Európai Bírósága, jogorvoslat, Alkotmánybíróság, alapjogvédelem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témaválasztás indokát az Emberi Jogok Európai Bírósága (Bíróság, EJEB) által a Mendrei kontra Magyarország és a Szalontay kontra Magyarország precedensértékű határozatokban megfogalmazott jogalkalmazói álláspont képezte. A két döntésben a Bíróság főszabály szerint hatékony jogorvoslatnak és ezáltal a nemzetközi bírói fórumhoz való fordulás előtt kötelezően kimerítendő eszköznek deklarálta a magyar alkotmányjogi panaszt. A strasbourgi bírósági gyakorlat és az alkotmányjogi panasz hatékonyságával kapcsolatos szemléletmód közötti jogi disszonancia megértése és feloldása érdekében jelen kutatásban arra kerestem a választ, hogy a Bíróság esetjogának tükrében valóban hatékony jogorvoslati eszköznek minősíthető-e az alkotmányjogi panasz jogintézménye.</w:t>
      </w:r>
      <w:r>
        <w:rPr>
          <w:color w:val="000000"/>
          <w:sz w:val="24"/>
          <w:szCs w:val="24"/>
        </w:rPr>
        <w:br/>
        <w:t xml:space="preserve">A kutatásban a hatályos hazai szabályozás bemutatását követően a Bíróság ítélkezési tevékenységét vizsgálva próbáltam meghatározni a hatékonyság fogalmát. A Bíróság egy általános, absztrakt fogalom kialakítása helyett egyes precedensértékű határozatokban deklarálta, hogy mikor tekinthető egy jogorvoslat effektív eszköznek: ha az alapjogsérelmet szenvedett személy által közvetlenül igénybe vehető, magán hordozza a siker ésszerű esélyét és képes a konkrét panasz orvoslására.</w:t>
      </w:r>
      <w:r>
        <w:rPr>
          <w:color w:val="000000"/>
          <w:sz w:val="24"/>
          <w:szCs w:val="24"/>
        </w:rPr>
        <w:br/>
        <w:t xml:space="preserve">A hazai alkotmánybírósági gyakorlatot és a strasbourgi jogalkalmazó tevékenységet vizsgálva arra a megállapításra jutottam, hogy a magyar alkotmányjogi panasz az egyedi ügyben való érintettség előírásával megvalósítja az első konjunktív feltételt. Ezen felül a második kritérium is teljesül, hiszen a jogorvoslati eszköz a kutatás során prezentált magas visszautasítási ráta ellenére is képes sikeres végeredményt realizálni az indítványozó számára. A harmadik hatékonysági pillért illetően az alkotmányjogi panasz tárgyát képező alapjogsérelmet azonban nem képes minden esetben hatékonyan orvosolni az Alkotmánybíróság (például: a közhatalom „egyéb” aktusainak megtámadhatósága, polgári peres eljárások elhúzódásának a kérdése).</w:t>
      </w:r>
      <w:r>
        <w:rPr>
          <w:color w:val="000000"/>
          <w:sz w:val="24"/>
          <w:szCs w:val="24"/>
        </w:rPr>
        <w:br/>
        <w:t xml:space="preserve">A bemutatott jogi hiátusok, jogalkalmazási disszonanciák és szabályozási paradoxonok tükrében a strasbourgi bíróság és a magyar jogalkotó számára is pro futuro ajánlásokat, illetve de lege ferenda javaslatokat fogalmaztam meg annak érdekében, hogy redukálni lehessen a Mendrei kontra Magyarország és a Szalontay kontra Magyarország ügyekben deklarált álláspont és a valós hazai alkotmánybírósági gyakorlat közötti diszkrepanciát.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616472">
    <w:multiLevelType w:val="hybridMultilevel"/>
    <w:lvl w:ilvl="0" w:tplc="453858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616472">
    <w:abstractNumId w:val="9761647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940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