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FEKETE BALÁZS PÉTER</w:t>
            </w:r>
          </w:p>
          <w:p w:rsidR="00C275A3" w:rsidRDefault="00CA6B74" w:rsidP="00C275A3">
            <w:pPr>
              <w:pStyle w:val="Hallgatokepzes"/>
            </w:pPr>
            <w:r w:rsidRPr="001067CD">
              <w:rPr>
                <w:i/>
              </w:rPr>
              <w:t>feketebalazspeter02@gmail.com</w:t>
            </w:r>
            <w:r w:rsidRPr="001067CD">
              <w:rPr>
                <w:i/>
              </w:rPr>
              <w:br/>
            </w:r>
            <w:r w:rsidR="00A96AEC">
              <w:t>jogász</w:t>
            </w:r>
            <w:r w:rsidR="00A96AEC">
              <w:br/>
            </w:r>
            <w:r w:rsidR="00E77B23">
              <w:t>Osztatlan, 9. félév</w:t>
            </w:r>
          </w:p>
          <w:p w:rsidR="00C265CE" w:rsidRPr="009E5FF1" w:rsidRDefault="00E77B23" w:rsidP="00BA6BAF">
            <w:pPr>
              <w:pStyle w:val="Hallgatointezmeny-kar"/>
              <w:rPr>
                <w:b/>
                <w:caps/>
              </w:rPr>
            </w:pPr>
            <w:r>
              <w:t>Károli Gáspár Református 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Prof. Dr. Trócsányi László</w:t>
            </w:r>
          </w:p>
          <w:p w:rsidR="00DB4822" w:rsidRDefault="00DB4822" w:rsidP="00BA6BAF">
            <w:pPr>
              <w:pStyle w:val="Konzulensektitulus"/>
            </w:pPr>
            <w:r w:rsidRPr="00DB4822">
              <w:t>rektor, egyetemi tanár,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tömeges bevándorlás jelentette kihívások az európai és a tagállami szintű szabályozási gyakorlatokban - Vajon feloldható a konfliktus?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tömeges bevándorlás; európai és nemzeti szintű szabályozás; uniós jog elsőbbsége; alkotmányos identitás; az EUB és az alkotmánybíróságok viszonya</w:t>
      </w:r>
      <w:r>
        <w:t xml:space="preserve"/>
      </w:r>
    </w:p>
    <w:p>
      <w:pPr>
        <w:widowControl w:val="on"/>
        <w:pBdr/>
        <w:spacing w:before="240" w:after="240" w:line="240" w:lineRule="auto"/>
        <w:ind w:left="0" w:right="0"/>
        <w:jc w:val="left"/>
      </w:pPr>
      <w:r>
        <w:rPr>
          <w:color w:val="000000"/>
          <w:sz w:val="24"/>
          <w:szCs w:val="24"/>
        </w:rPr>
        <w:t xml:space="preserve">A tömegesbevándorlás soha nem látott kihívásokkal állítja szembe az Európai Uniót, amely sok olyan háttérben húzódó konfliktusra világít rá, melyek adekvát válaszokat kívánnak az európai vezetőktől. Az egyik ilyen konfliktus természetesen az uniós jog és a nemzeti jog közötti viszony, hierarchia tényleges mibenléte. Azt állítom, hogy amennyiben elfogadjuk, hogy a tömeges bevándorlásra adott uniós szintű válaszok abszolút elsőbbséggel bírnak minden tagállamban, azzal feladnánk a nemzeti alkotmánybíróságok által körülbástyázott azon alkotmányos identitást, melyre európai közösségeink épülnek. Éppen ezért egy olyan megoldásra van szükség, amely úgy tudja ezen két jogrendszert egymás oldalára állítani, hogy azzal sem az integrációs célok, sem a tagállami alkotmányos önazonosság nem sérül. Ehhez egy olyan intézményközi együttműködés megteremtésére van szükség az alapszerződések módosításával, amely képes a tagállami alkotmánybíróságok jogértelmezését becsatornázni az Európai Unió Bíróságának ítélkezési gyakorlatába annak érdekében, hogy mind az uniós jognak, mind pedig a nemzeti alkotmányos rendelkezéseknek megfelelő döntések születhessenek.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244090">
    <w:multiLevelType w:val="hybridMultilevel"/>
    <w:lvl w:ilvl="0" w:tplc="625082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244090">
    <w:abstractNumId w:val="312440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26060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