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KÉRÉSZ RÉKA ETELKA</w:t>
            </w:r>
          </w:p>
          <w:p w:rsidR="00C275A3" w:rsidRDefault="00CA6B74" w:rsidP="00C275A3">
            <w:pPr>
              <w:pStyle w:val="Hallgatokepzes"/>
            </w:pPr>
            <w:r w:rsidRPr="001067CD">
              <w:rPr>
                <w:i/>
              </w:rPr>
              <w:t>reka.keresz@gmail.com</w:t>
            </w:r>
            <w:r w:rsidRPr="001067CD">
              <w:rPr>
                <w:i/>
              </w:rPr>
              <w:br/>
            </w:r>
            <w:r w:rsidR="00A96AEC">
              <w:t>jogász</w:t>
            </w:r>
            <w:r w:rsidR="00A96AEC">
              <w:br/>
            </w:r>
            <w:r w:rsidR="00E77B23">
              <w:t>Osztatlan, 7. félév</w:t>
            </w:r>
          </w:p>
          <w:p w:rsidR="00C265CE" w:rsidRPr="009E5FF1" w:rsidRDefault="00E77B23" w:rsidP="00BA6BAF">
            <w:pPr>
              <w:pStyle w:val="Hallgatointezmeny-kar"/>
              <w:rPr>
                <w:b/>
                <w:caps/>
              </w:rPr>
            </w:pPr>
            <w:r>
              <w:t>Széchenyi István Egyetem</w:t>
            </w:r>
            <w:r w:rsidR="00C275A3">
              <w:br/>
            </w:r>
            <w:r w:rsidR="00DB4822">
              <w:t>Deák Ferenc Állam- és Jogtudományi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Erdős Csaba</w:t>
            </w:r>
          </w:p>
          <w:p w:rsidR="00DB4822" w:rsidRDefault="00DB4822" w:rsidP="00BA6BAF">
            <w:pPr>
              <w:pStyle w:val="Konzulensektitulus"/>
            </w:pPr>
            <w:r w:rsidRPr="00DB4822">
              <w:t>egyetemi docens, SZE DFK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Alkotmánybíróság közpénzügyi hatáskörkorlátozásának értelmezési kihívásai - különös tekintettel a különleges jogrend időszakára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Alkotmánybíróság; veszélyhelyzetijogrend; közpénzügyihatáskör; Alaptörvény;jogértelemzés</w:t>
      </w:r>
      <w:r>
        <w:t xml:space="preserve"/>
      </w:r>
    </w:p>
    <w:p>
      <w:pPr>
        <w:widowControl w:val="on"/>
        <w:pBdr/>
        <w:spacing w:before="240" w:after="240" w:line="240" w:lineRule="auto"/>
        <w:ind w:left="0" w:right="0"/>
        <w:jc w:val="left"/>
      </w:pPr>
      <w:r>
        <w:rPr>
          <w:color w:val="000000"/>
          <w:sz w:val="24"/>
          <w:szCs w:val="24"/>
        </w:rPr>
        <w:t xml:space="preserve">A dolgozat a magyar Alkotmánybíróság közpénzügyi hatásköri korlátozásának értelmezésével foglalkozik, különösen a veszélyhelyzeti időszak alatt. A kutatás célja az Alaptörvény 37. cikk (4) bekezdésének kritikai vizsgálata és az Alkotmánybíróság ezen szabály alapján kialakított gyakorlatának elemzése.</w:t>
      </w:r>
    </w:p>
    <w:p>
      <w:pPr>
        <w:widowControl w:val="on"/>
        <w:pBdr/>
        <w:spacing w:before="240" w:after="240" w:line="240" w:lineRule="auto"/>
        <w:ind w:left="0" w:right="0"/>
        <w:jc w:val="left"/>
      </w:pPr>
      <w:r>
        <w:rPr>
          <w:color w:val="000000"/>
          <w:sz w:val="24"/>
          <w:szCs w:val="24"/>
        </w:rPr>
        <w:t xml:space="preserve">Az Alaptörvény vonatkozó rendelkezése meghatározza, hogy bizonyos pénzügyi tárgyú törvényeket az Alkotmánybíróság csak korlátozott alapjogi szempontból vizsgálhatja. Ez különösen a veszélyhelyzeti időszakban kiemelt jelentőségű, amikor a kormány szélesebb mozgástérrel rendelkezik, és a központi jogalkotás felértékelődik. A dolgozat külön elemzi az államadósság-mértéket érintő előírásokat, az eljárástípusokat, a tárgyköri és jogforrási feltételeket, valamint az alapjogi kivételek alkalmazását.</w:t>
      </w:r>
    </w:p>
    <w:p>
      <w:pPr>
        <w:widowControl w:val="on"/>
        <w:pBdr/>
        <w:spacing w:before="240" w:after="240" w:line="240" w:lineRule="auto"/>
        <w:ind w:left="0" w:right="0"/>
        <w:jc w:val="left"/>
      </w:pPr>
      <w:r>
        <w:rPr>
          <w:color w:val="000000"/>
          <w:sz w:val="24"/>
          <w:szCs w:val="24"/>
        </w:rPr>
        <w:t xml:space="preserve">A kutatás rávilágít, hogy az Alkotmánybíróság gyakorlata gyakran tágabban értelmezi a klauzulát, ami szűkíti a testület saját hatáskörét és növeli a kormány rendeleti szabályozásának súlyát. A dolgozat kitér a jogi és gazdasági hatásokra, valamint az alkotmányos felügyelet és a hatalommegosztás egyensúlyának változásaira.</w:t>
      </w:r>
    </w:p>
    <w:p>
      <w:pPr>
        <w:widowControl w:val="on"/>
        <w:pBdr/>
        <w:spacing w:before="240" w:after="240" w:line="240" w:lineRule="auto"/>
        <w:ind w:left="0" w:right="0"/>
        <w:jc w:val="left"/>
      </w:pPr>
      <w:r>
        <w:rPr>
          <w:color w:val="000000"/>
          <w:sz w:val="24"/>
          <w:szCs w:val="24"/>
        </w:rPr>
        <w:t xml:space="preserve">Az elemzés fő következtetése, hogy a jelenlegi szabályozás bizonytalanságokat és gyakorlati nehézségeket okoz, különösen az államadósság mértékének meghatározása és az alapjogi kivételek alkalmazása kapcsán. Az Alkotmánybíróság gyakorlatában mutatkozó irányelvek szoros összefüggésben állnak az alkotmányvédelem elvével, ám ezek gyakorlati alkalmazása további pontosítást igényelhet. A dolgozat végül javaslatokat fogalmaz meg a szabályozási környezet átláthatóságának és hatékonyságának javítására.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404275">
    <w:multiLevelType w:val="hybridMultilevel"/>
    <w:lvl w:ilvl="0" w:tplc="877226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404275">
    <w:abstractNumId w:val="4140427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8148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