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KREBSZ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krebsz.klaudiaa@gmail.com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Kovács-Szépvölgyi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segítség egy kattintásnyira van!? A gyermekeket érő cyberbullyinggal szembeni hatékony reparációs megoldások szabályozási kerete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cyberbullying; személyiségi jogok; platform; eltávolítási mechanizmus; hotline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kiskorúakat érő személyiségi jogot sértő cyberbullying egyre nagyobb figyelmet igényel, mivel a gyermekek már a digitális társadalomba születnek. A kibertér azonban számos veszélyt hordoz magában, amivel sok esetben a szülők sincsenek tisztában. A cyberbullying különösen veszélyes a fiatalok körében, ugyanis az áldozatok gyakran nem képesek védekezni, és egy cyberbullying eset súlyos érzelmi és pszichológiai következményt, akár öngyilkosságot is eredményezhet. Tovább nehezíti a helyzetet, hogy nincs egzakt, általánosan elfogadott fogalom a cyberbullyingra, holott nem újkeletű ez a jelenség. Számos kutató, illetve nemzetközi szervezet tett kísérltet a definíció megalkotására, ezek azonban fogalmi elemekben különböznek egymástól. Ez azt eredményezheti, hogy nehezebbé válik a jogérvényesítés, ugyanis előfordulhatnak olyan esetek, amikor bár megtörténik a cyberbullying, például egyetlen személyiségi jogot sértő fénykép közzétételre kerül, azonban a cselekmény mégis a cyberbullying fogalmi körén kívül esik.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 célja, hogy átfogó képet adjon arról, hogyan védhetők a kiskorúak az online térben, különösen a személyiségi jogot sértő cyberbullying tartalmak eltávolítása terén, és rávilágítson arra, hogy a jogalkotásnak és a civil szervezeteknek egyaránt felelősségteljesen kellene fellépniük a gyermekek védelme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Ehhez nemzetközi szinten bemutatásra kerülnek különböző országok gyakorlatai a személyiségi jogot sértő tartalmak bírósági eljáráson kívüli eltávolítása vonatkozásában. A dolgozat kiemeli azokat az intézkedéseket és gyakorlatokat, amelyek bevezetését az egyes államokban szükséges lenne fontolóra venni. Az elemzés kitér a civil szervezetek és hatóságok szerepére, amelyek különféle eszközökkel segítik a jogsértő tartalmak eltávolítását és az áldozatok védelmét.</w:t>
      </w:r>
      <w:r>
        <w:rPr>
          <w:color w:val="000000"/>
          <w:sz w:val="24"/>
          <w:szCs w:val="24"/>
        </w:rPr>
        <w:br/>
        <w:t xml:space="preserve">A kutatás az európai szabályozási keretet is elemzi, különös tekintettel a DSA-ra amely szigorúbb kötelezettségeket ír elő a platformokra nézve a káros és illegális tartalmak eltávolítása terén. Szó esik a GDPR  adatvédelmi követelményeiről, amelyek szintén fontos szerepet játszanak a gyermekek online védelmében. A magyar jogszabályok, különösen az Elektronikus Kereskedelmi Törvény (Ekertv.), valamint egyéb kapcsolódó előírások is kifejtésre kerülnek, mivel ezek keretet adnak a hazai platformszolgáltatók felelősségének. A szülők tudatosságának felmérésére egy kérdőíves kutatás is készült a cyberbullying és a tartalomeltávolítási mechanizmusok vonatkozásában.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05171">
    <w:multiLevelType w:val="hybridMultilevel"/>
    <w:lvl w:ilvl="0" w:tplc="96130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05171">
    <w:abstractNumId w:val="527051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493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