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TROMBITÁS VERONIKA</w:t>
            </w:r>
          </w:p>
          <w:p w:rsidR="00C275A3" w:rsidRDefault="00CA6B74" w:rsidP="00C275A3">
            <w:pPr>
              <w:pStyle w:val="Hallgatokepzes"/>
            </w:pPr>
            <w:r w:rsidRPr="001067CD">
              <w:rPr>
                <w:i/>
              </w:rPr>
              <w:t>tveronika0012@gmail.com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Göndör Éva</w:t>
            </w:r>
          </w:p>
          <w:p w:rsidR="00DB4822" w:rsidRDefault="00DB4822" w:rsidP="00BA6BAF">
            <w:pPr>
              <w:pStyle w:val="Konzulensektitulus"/>
            </w:pPr>
            <w:r w:rsidRPr="00DB4822">
              <w:t>habilitált 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 és család egy kézben? Magyar és német válaszok az uniós irányelvre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munka; család; szabadság</w:t>
      </w:r>
      <w:r>
        <w:t xml:space="preserve"/>
      </w:r>
    </w:p>
    <w:p>
      <w:pPr>
        <w:widowControl w:val="on"/>
        <w:pBdr/>
        <w:spacing w:before="240" w:after="240" w:line="240" w:lineRule="auto"/>
        <w:ind w:left="0" w:right="0"/>
        <w:jc w:val="left"/>
      </w:pPr>
      <w:r>
        <w:rPr>
          <w:color w:val="000000"/>
          <w:sz w:val="24"/>
          <w:szCs w:val="24"/>
        </w:rPr>
        <w:t xml:space="preserve">A hagyományos értelemben vett családmodelltől való elszakadás óta nemcsak a hétköznapi ember számára, hanem jogalkotói szempontból is fontos napirendi pont a munka és család egy kézben való tartása, valamint az, hogy a nemek közötti egyenlőség a munkaerőpiacon és a gyermeknevelés adta teendők elvégzésében is egyre nagyobb teret hódíthasson. Ebből a körből az Európai Unió sem hagyható ki, hiszen már a nyolcvanas évektől kezdve állandó kérdésként tér vissza a közösség működésében az élet e két fontos területének összehangolása és hatékony eszközökkel való megoldása.</w:t>
      </w:r>
    </w:p>
    <w:p>
      <w:pPr>
        <w:widowControl w:val="on"/>
        <w:pBdr/>
        <w:spacing w:before="240" w:after="240" w:line="240" w:lineRule="auto"/>
        <w:ind w:left="0" w:right="0"/>
        <w:jc w:val="left"/>
      </w:pPr>
      <w:r>
        <w:rPr>
          <w:color w:val="000000"/>
          <w:sz w:val="24"/>
          <w:szCs w:val="24"/>
        </w:rPr>
        <w:t xml:space="preserve">Dolgozatom középpontjában az Európai Parlament és a Tanács által alkotott 2019/1158 számú irányelv áll, azonban az ehhez vezető út és az ezt megelőző szabályok bemutatása sem maradnak ki a sorból. Külön kiemelést nyernek a korábbi és hatályos irányelvek közötti hasonlóságok és különbségek, valamint az általam megfogalmazott észrevételek. Ezt követően vizsgálat alá veszem, hogy az uniós jogalkotó elvárásait miként implementálta hazánk nemzeti jogrendszerünkbe, valamint azt, hogy a magyarhoz képest a német jogalkotó milyen megoldásokat kínál országában a munkavállaló szülők és gondozók részére. Továbbá a joggyakorlat elemzése is dolgozatom részét képezi, hiszen ahhoz, hogy teljes képet kaphassunk e kérdésről, elengedhetetlen feladat a jogalkalmazás vizsgálata, vagyis különböző bírósági ítéletek górcső alá vétele.</w:t>
      </w:r>
    </w:p>
    <w:p>
      <w:pPr>
        <w:widowControl w:val="on"/>
        <w:pBdr/>
        <w:spacing w:before="240" w:after="240" w:line="240" w:lineRule="auto"/>
        <w:ind w:left="0" w:right="0"/>
        <w:jc w:val="left"/>
      </w:pPr>
      <w:r>
        <w:rPr>
          <w:color w:val="000000"/>
          <w:sz w:val="24"/>
          <w:szCs w:val="24"/>
        </w:rPr>
        <w:t xml:space="preserve">Kutatásom során nagy hangsúlyt fektetek a tagállami jogalkotók által kialakított jogi keretek közötti eltérések bemutatására is, emellett megfogalmazom az általam követendőnek tartott példákat is a hazai jogalkotó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69735">
    <w:multiLevelType w:val="hybridMultilevel"/>
    <w:lvl w:ilvl="0" w:tplc="30809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69735">
    <w:abstractNumId w:val="68969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040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