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KŐSZEGI ANITA</w:t>
            </w:r>
          </w:p>
          <w:p w:rsidR="00C275A3" w:rsidRDefault="00CA6B74" w:rsidP="00C275A3">
            <w:pPr>
              <w:pStyle w:val="Hallgatokepzes"/>
            </w:pPr>
            <w:r w:rsidRPr="001067CD">
              <w:rPr>
                <w:i/>
              </w:rPr>
              <w:t>koszegianita12@gmail.com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Ganczer Mónika</w:t>
            </w:r>
          </w:p>
          <w:p w:rsidR="00DB4822" w:rsidRDefault="00DB4822" w:rsidP="00BA6BAF">
            <w:pPr>
              <w:pStyle w:val="Konzulensektitulus"/>
            </w:pPr>
            <w:r w:rsidRPr="00DB4822">
              <w:t>egyetemi docens, SZE DFK</w:t>
            </w:r>
          </w:p>
        </w:tc>
      </w:tr>
      <w:tr w:rsidR="00DB4822" w:rsidTr="00DB4822">
        <w:tc>
          <w:tcPr>
            <w:tcW w:w="9854" w:type="dxa"/>
          </w:tcPr>
          <w:p w:rsidR="00DB4822" w:rsidRPr="00DB4822" w:rsidRDefault="00DB4822" w:rsidP="00BA6BAF">
            <w:pPr>
              <w:pStyle w:val="Konzulenseknev"/>
            </w:pPr>
            <w:r w:rsidRPr="00DB4822">
              <w:t>Dr. Takó Dalma</w:t>
            </w:r>
          </w:p>
          <w:p w:rsidR="00DB4822" w:rsidRDefault="00DB4822" w:rsidP="00BA6BAF">
            <w:pPr>
              <w:pStyle w:val="Konzulensektitulus"/>
            </w:pPr>
            <w:r w:rsidRPr="00DB4822">
              <w:t>egyetemi tanársegéd,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gyermekjogok védelme és a megsértésükért viselt nemzetközi jogi felelősség kérdése az orosz-ukrán konfliktus fényében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konfliktus; gyermekjogok; felelősség</w:t>
      </w:r>
      <w:r>
        <w:t xml:space="preserve"/>
      </w:r>
    </w:p>
    <w:p>
      <w:pPr>
        <w:widowControl w:val="on"/>
        <w:pBdr/>
        <w:spacing w:before="240" w:after="240" w:line="240" w:lineRule="auto"/>
        <w:ind w:left="0" w:right="0"/>
        <w:jc w:val="left"/>
      </w:pPr>
      <w:r>
        <w:rPr>
          <w:color w:val="000000"/>
          <w:sz w:val="24"/>
          <w:szCs w:val="24"/>
        </w:rPr>
        <w:t xml:space="preserve">A dolgozat célja az orosz-ukrán konfliktus nemzetközi jogi felelősség szempontjából történő elemzése, különös tekintettel a gyermekjogok megsértésére, a Gyermekjogi Egyezmény, valamint a releváns nemzetközi humanitárius jogi normák előírásainak figyelembevételével. A fegyveres konfliktusok jelentős emberi és anyagi veszteségeket okoznak, ezért kiemelten fontos az elkövetők jogi felelősségének megállapítása, ami a nemzetközi jog és a nemzetközi közösség egyik ismétlődő próbatételeként jelenik meg. A fegyveres konfliktusok folyamán tapasztalt gyermekjogi jogsértések száma az utóbbi évtizedben megkétszereződött, ami rengeteg gyermek számára hátrányos következményekkel jár fizikai, pszichológiai és szociális szempontból egyaránt. A dolgozat a gyermekek nemzetközi jog által elismert és kiemelten védett helyzetéből kiindulva különös figyelmet fordít a súlyos gyermekjogsértések eseteire, a Gyermekjogi Egyezmény alapelveire, valamint a gyermekek életében, fejlődésében meghatározó szerepet betöltő jogokra, mindezt az orosz-ukrán konfliktus fényében. Bemutatásra kerül e konfliktus nemzetközi jogi minősítése és a súlyosabb események áttekintése, melyekhez kapcsolódóan a dolgozat feltárja a konfliktus által érintett gyermekekre gyakorolt hátrányos következményeket. Ennek alapján elemzésre kerül, hogy mely meghatározó gyermekjogok sérültek jelentősen, és, hogy milyen módon történt a gyermekek védelmének elmulasztása mindkét érintett állam által.</w:t>
      </w:r>
      <w:r>
        <w:rPr>
          <w:color w:val="000000"/>
          <w:sz w:val="24"/>
          <w:szCs w:val="24"/>
        </w:rPr>
        <w:br/>
        <w:t xml:space="preserve">A dolgozat során elemzésre kerül, hogy egy állam milyen gyermekjogi normákat sért meg, amikor fegyveres konfliktust kezdeményez egy másik állam területén, valamint, hogy ennek milyen jogi következményei vannak és milyen mechanizmusok állnak rendelkezésre az állam felelősségre vonására. Lényeges, hogy a nemzetközi közösség és a jogi fórumok érdemi figyelmet fordítsanak az e téren történő gyermekvédelemre. Erre tekintettel a dolgozat javaslatokat is tesz arra, hogy az orosz-ukrán fegyveres konfliktus nehéz helyzetében a gyermekek védelme érdekében hogyan lehet minél hatékonyabban érvényesíteni a vizsgált gyermekjogokat.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48910">
    <w:multiLevelType w:val="hybridMultilevel"/>
    <w:lvl w:ilvl="0" w:tplc="57380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48910">
    <w:abstractNumId w:val="16248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303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