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KŐSZEGI</w:t>
            </w:r>
          </w:p>
          <w:p w:rsidR="00C275A3" w:rsidRDefault="00CA6B74" w:rsidP="00C275A3">
            <w:pPr>
              <w:pStyle w:val="Hallgatokepzes"/>
            </w:pPr>
            <w:r w:rsidRPr="001067CD">
              <w:rPr>
                <w:i/>
              </w:rPr>
              <w:t>koszegianita12@gmail.com</w:t>
            </w:r>
            <w:r w:rsidRPr="001067CD">
              <w:rPr>
                <w:i/>
              </w:rPr>
              <w:br/>
            </w:r>
            <w:r w:rsidR="00A96AEC">
              <w:t>law</w:t>
            </w:r>
            <w:r w:rsidR="00A96AEC">
              <w:br/>
            </w:r>
            <w:r w:rsidR="00E77B23">
              <w:t>Unified, 7.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Mónika Ganczer</w:t>
            </w:r>
          </w:p>
          <w:p w:rsidR="00DB4822" w:rsidRDefault="00DB4822" w:rsidP="00BA6BAF">
            <w:pPr>
              <w:pStyle w:val="Konzulensektitulus"/>
            </w:pPr>
            <w:r w:rsidRPr="00DB4822">
              <w:t>associate professor, SZE DFK</w:t>
            </w:r>
          </w:p>
        </w:tc>
      </w:tr>
      <w:tr w:rsidR="00DB4822" w:rsidTr="00DB4822">
        <w:tc>
          <w:tcPr>
            <w:tcW w:w="9854" w:type="dxa"/>
          </w:tcPr>
          <w:p w:rsidR="00DB4822" w:rsidRPr="00DB4822" w:rsidRDefault="00DB4822" w:rsidP="00BA6BAF">
            <w:pPr>
              <w:pStyle w:val="Konzulenseknev"/>
            </w:pPr>
            <w:r w:rsidRPr="00DB4822">
              <w:t>Dr. Dalma Takó</w:t>
            </w:r>
          </w:p>
          <w:p w:rsidR="00DB4822" w:rsidRDefault="00DB4822" w:rsidP="00BA6BAF">
            <w:pPr>
              <w:pStyle w:val="Konzulensektitulus"/>
            </w:pPr>
            <w:r w:rsidRPr="00DB4822">
              <w:t>assistant lecturer,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Protection of Children's Rights and the Issue of International Legal Responsibility for Their Violation in Light of the Russian-Ukrainian Conflict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conflict; children's rights; responsibility</w:t>
      </w:r>
      <w:r>
        <w:t xml:space="preserve"/>
      </w:r>
    </w:p>
    <w:p>
      <w:pPr>
        <w:widowControl w:val="on"/>
        <w:pBdr/>
        <w:spacing w:before="240" w:after="240" w:line="240" w:lineRule="auto"/>
        <w:ind w:left="0" w:right="0"/>
        <w:jc w:val="left"/>
      </w:pPr>
      <w:r>
        <w:rPr>
          <w:color w:val="000000"/>
          <w:sz w:val="24"/>
          <w:szCs w:val="24"/>
        </w:rPr>
        <w:t xml:space="preserve">The aim of this thesis is to analyse the Russian-Ukrainian conflict from the perspective of international legal responsibility, focusing primarily on violations of children’s rights, taking into account the provisions of the Convention on the Rights of the Child and relevant international humanitarian law. Armed conflicts result in significant human and material losses, making it crucial to establish the legal responsibility of the perpetrators, which is a recurring challenge for international law and the international community. Over the past decade, the number of children's rights violations during armed conflicts has doubled, causing severe physical, psychological and social harm for many children. The thesis is based on the internationally recognized and highly protected status of children, with a particular focus on cases of serious child rights violations, the principles of the Convention on the Rights of the Child, and the rights that play a key role in a child's life and development, all within the context of the Russia-Ukraine conflict. Through the presentation of the international legal classification of the conflict, follows an overview of the major events and an exploration of the negative consequences the conflict has had on children. Based on this, the thesis analyzes which key children's rights have been significantly violated and how the protection of children has been neglected by both states involved.</w:t>
      </w:r>
      <w:r>
        <w:rPr>
          <w:color w:val="000000"/>
          <w:sz w:val="24"/>
          <w:szCs w:val="24"/>
        </w:rPr>
        <w:br/>
        <w:t xml:space="preserve">The thesis examines the specific children’s rights norms violated when a state initiates an armed conflict on another state’s territory, the legal consequences of such actions, and the mechanisms available to hold the state accountable. It is imperative that the international community and legal forums give meaningful attention to the protection of children in this regard. In light of this, the thesis also offers recommendations on how to effectively uphold the examined children’s rights in order to protect children during the challenging circumstances of the Russia-Ukraine armed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33693">
    <w:multiLevelType w:val="hybridMultilevel"/>
    <w:lvl w:ilvl="0" w:tplc="20950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33693">
    <w:abstractNumId w:val="963336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52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