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molnar135@uniba.sk</w:t>
            </w:r>
            <w:r w:rsidRPr="001067CD">
              <w:rPr>
                <w:i/>
              </w:rPr>
              <w:br/>
            </w:r>
            <w:r w:rsidR="00A96AEC">
              <w:t>magyar nyelv és irodalom - német nyelv és irodalom tanári képzés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Univerzita Komenského v Bratislave (Comenius Egyetem, Pozsony)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Doc. Mgr. Csehy Zoltán,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SK UKB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Keretek közt a teljesség. A keretszerkezet vizsgálata Weöres Sándor Tizenegy szimfónia című kötetében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Weöres Sándor; zeneiség; szimfónia; intermedialitás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Weöres Sándor </w:t>
      </w:r>
      <w:r>
        <w:rPr>
          <w:i/>
          <w:color w:val="000000"/>
          <w:sz w:val="24"/>
          <w:szCs w:val="24"/>
        </w:rPr>
        <w:t xml:space="preserve">Tizenegy szimfónia </w:t>
      </w:r>
      <w:r>
        <w:rPr>
          <w:color w:val="000000"/>
          <w:sz w:val="24"/>
          <w:szCs w:val="24"/>
        </w:rPr>
        <w:t xml:space="preserve">című kötetének első és utolsó költeményét, az </w:t>
      </w:r>
      <w:r>
        <w:rPr>
          <w:i/>
          <w:color w:val="000000"/>
          <w:sz w:val="24"/>
          <w:szCs w:val="24"/>
        </w:rPr>
        <w:t xml:space="preserve">Első szimfóniá</w:t>
      </w:r>
      <w:r>
        <w:rPr>
          <w:color w:val="000000"/>
          <w:sz w:val="24"/>
          <w:szCs w:val="24"/>
        </w:rPr>
        <w:t xml:space="preserve">t és a </w:t>
      </w:r>
      <w:r>
        <w:rPr>
          <w:i/>
          <w:color w:val="000000"/>
          <w:sz w:val="24"/>
          <w:szCs w:val="24"/>
        </w:rPr>
        <w:t xml:space="preserve">Tizenegyedik szimfóniá</w:t>
      </w:r>
      <w:r>
        <w:rPr>
          <w:color w:val="000000"/>
          <w:sz w:val="24"/>
          <w:szCs w:val="24"/>
        </w:rPr>
        <w:t xml:space="preserve">t elemzem, elsősorban az intermedialitás és a bennük fellelhető zenei struktúrák szempontjából. A két hosszúvers kiválóan reprezentálja a teljes kötetkompozíció legjellemzőbb vonásait, a költő nyilván ezért is alakította így a kötet szerkezetét. Az </w:t>
      </w:r>
      <w:r>
        <w:rPr>
          <w:i/>
          <w:color w:val="000000"/>
          <w:sz w:val="24"/>
          <w:szCs w:val="24"/>
        </w:rPr>
        <w:t xml:space="preserve">Első szimfónia</w:t>
      </w:r>
      <w:r>
        <w:rPr>
          <w:color w:val="000000"/>
          <w:sz w:val="24"/>
          <w:szCs w:val="24"/>
        </w:rPr>
        <w:t xml:space="preserve"> a „legzeneibb” kompozíció, míg a </w:t>
      </w:r>
      <w:r>
        <w:rPr>
          <w:i/>
          <w:color w:val="000000"/>
          <w:sz w:val="24"/>
          <w:szCs w:val="24"/>
        </w:rPr>
        <w:t xml:space="preserve">Tizenegyedik szimfónia</w:t>
      </w:r>
      <w:r>
        <w:rPr>
          <w:color w:val="000000"/>
          <w:sz w:val="24"/>
          <w:szCs w:val="24"/>
        </w:rPr>
        <w:t xml:space="preserve"> az aleatórikus zene metodológiájával rokonítható. Célom az intermediális jelenségek és zenei vonatkozások feltárása, valamint egy zenei olvasat és értelmezés létrehozása, mely elválaszthatatlan a szimfónia műfajától. Emellett árnyalom a korábbi szakirodalom meglátásait Weöres tágabb költészeti és életfilozófiai aspektusaira támaszkodva, mely szerint a zene újraegyesítheti az élet és a lét ősi harmonikus állapotát.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90262">
    <w:multiLevelType w:val="hybridMultilevel"/>
    <w:lvl w:ilvl="0" w:tplc="64999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90262">
    <w:abstractNumId w:val="62990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636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