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KRISTIAN KURCZ</w:t>
            </w:r>
          </w:p>
          <w:p w:rsidR="00C275A3" w:rsidRDefault="00CA6B74" w:rsidP="00C275A3">
            <w:pPr>
              <w:pStyle w:val="Hallgatokepzes"/>
            </w:pPr>
            <w:r w:rsidRPr="001067CD">
              <w:rPr>
                <w:i/>
              </w:rPr>
              <w:t>128022@student.ujs.sk</w:t>
            </w:r>
            <w:r w:rsidRPr="001067CD">
              <w:rPr>
                <w:i/>
              </w:rPr>
              <w:br/>
            </w:r>
            <w:r w:rsidR="00A96AEC">
              <w:t>Business Economics and Management</w:t>
            </w:r>
            <w:r w:rsidR="00A96AEC">
              <w:br/>
            </w:r>
            <w:r w:rsidR="00E77B23">
              <w:t>MA, 3. semester</w:t>
            </w:r>
          </w:p>
          <w:p w:rsidR="00C265CE" w:rsidRPr="009E5FF1" w:rsidRDefault="00E77B23" w:rsidP="00BA6BAF">
            <w:pPr>
              <w:pStyle w:val="Hallgatointezmeny-kar"/>
              <w:rPr>
                <w:b/>
                <w:caps/>
              </w:rPr>
            </w:pPr>
            <w:r>
              <w:t>J. Selye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Mgr. Noémi Fóthy PhD.</w:t>
            </w:r>
          </w:p>
          <w:p w:rsidR="00DB4822" w:rsidRDefault="00DB4822" w:rsidP="00BA6BAF">
            <w:pPr>
              <w:pStyle w:val="Konzulensektitulus"/>
            </w:pPr>
            <w:r w:rsidRPr="00DB4822">
              <w:t>Teacher ,  Tatabánya Széchenyi István Vocational School of Economics and Information Technology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Understanding university students' motivations for joining student organizations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student organizations, student motivation, community experience, professional development, satisfaction</w:t>
      </w:r>
      <w:r>
        <w:t xml:space="preserve"/>
      </w:r>
    </w:p>
    <w:p>
      <w:pPr>
        <w:widowControl w:val="on"/>
        <w:pBdr/>
        <w:spacing w:before="240" w:after="240" w:line="240" w:lineRule="auto"/>
        <w:ind w:left="0" w:right="0"/>
        <w:jc w:val="left"/>
      </w:pPr>
      <w:r>
        <w:rPr>
          <w:color w:val="000000"/>
          <w:sz w:val="24"/>
          <w:szCs w:val="24"/>
        </w:rPr>
        <w:t xml:space="preserve">In our OTDK thesis we examined which factors influence university students when joining student organizations and how their participation affects their personal and professional development. Our research involved a questionnaire based survey among 150 students, which we analyzed using statistical methods including frequency and cross tabulation analysis, ANOVA, correlation calculation, cluster analysis, factor analysis, as well as qualitative methods such as content analysis. Our results indicate that students motivation is primarily shaped by the desire for a sense of community, networking opportunities, and professional development, while financial factors do not show a statistically significant impact on satisfaction with membership. We found no significant differences between men and women in terms of main motivations, although female students display a slightly stronger inclination toward leadership roles. Frequent and intensive participation in the organization is closely linked to higher levels of member satisfaction, though a community experience alone does not necessarily guarantee the conscious development of personal skills. We also highlight that mentoring and an inclusive organizational environment can effectively strengthen long term commitment among members. As an innovative solution, we propose introducing a trial period, which allows both the organization and prospective members to mutually assess the efficiency and fit of their collaboration. This approach also promotes the continuous improvement of organizational culture, since feedback gathered during the trial period can help better align with current needs and support students personal and professional growth. In conclusion, we found that student organizations operate most successfully when they reinforce both community and professional dimensions and remain open to new solutions, such as the application of a trial period, thus contributing to the effective integration and development of students.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88173">
    <w:multiLevelType w:val="hybridMultilevel"/>
    <w:lvl w:ilvl="0" w:tplc="90407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88173">
    <w:abstractNumId w:val="739881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17624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