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VIKTOR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viktorbhorvath@gmail.com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Felderítetlen viszonyrendszer? A nemzetbiztonsági tevékenység és a büntetőeljárás kapcsolata, különös tekintettel a nemzetbiztonsági szolgálatok bűnfelderítési hatásköreire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nemzetbiztonság, büntetőeljárás, bűnfelderítés, Alkotmányvédelmi Hivatal, Katonai Nemzetbiztonsági Szolgálat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nemzetbiztonsági tevékenység és a büntetőeljárás látszólag egymástól jól elhatárolt területek. A nemzetbiztonsági szolgálatok a térben és időben dinamikusan változó nemzetbiztonsági érdekek érvényesítésére törekszenek, míg a büntető igazságszolgáltatás szervei a kizárólagos állami büntetőigény érvényesítését végzik. A két terület a vonatkozó jogszabályok síkján is elhatárolt, hiszen külön törvény rendelkezik a nemzetbiztonsági szolgálatokról és külön törvény a büntetőeljárásról. A két terület elhatároltsága azonban sem nem magától értetődő, sem nem teljes.</w:t>
      </w:r>
      <w:r>
        <w:rPr>
          <w:color w:val="000000"/>
          <w:sz w:val="24"/>
          <w:szCs w:val="24"/>
        </w:rPr>
        <w:br/>
        <w:t xml:space="preserve">A magyar nemzetbiztonsági ágazati szabályozás a nemzetbiztonsági szolgálatok tevékenységét szoros szálakkal köti a büntetőeljáráshoz. Mindennek elsődleges oka, hogy a nemzetbiztonsági szolgálatokról szóló 1995. évi CXXV. törvény – de az ezt megelőzően hatályban volt átmeneti rendelet is – egyes nemzetbiztonsági szolgálatokat konkrét bűncselekmények kapcsán bűnfelderítési hatáskörökkel ruházott fel.</w:t>
      </w:r>
      <w:r>
        <w:rPr>
          <w:color w:val="000000"/>
          <w:sz w:val="24"/>
          <w:szCs w:val="24"/>
        </w:rPr>
        <w:br/>
        <w:t xml:space="preserve">Kérdésként merülhet fel, hogy a nemzetbiztonsági szolgálatok, melyeknek nem rendeltetése, hogy az eseményeket büntetőjogi szempontból értékeljék, képesek-e összeegyeztetni a nemzetbiztonsági érdeket a bűncselekmények üldözéséhez fűződő érdekkel. Szükség van-e egyáltalán arra, hogy a nemzetbiztonsági szolgálatok maguk is bűnüldözőkként viselkedjenek, feljelentve minden, a tudomásukra jutó bűncselekményt? Vagy inkább az a kívánatos, hogy a nemzetbiztonsági szolgálatok széles mérlegelési jogosultságot élvezzenek, és csak akkor kezdeményezzenek büntetőeljárást, ha az nem veszélyezteti a nemzetbiztonsági érdekek érvényesítését?</w:t>
      </w:r>
      <w:r>
        <w:rPr>
          <w:color w:val="000000"/>
          <w:sz w:val="24"/>
          <w:szCs w:val="24"/>
        </w:rPr>
        <w:br/>
        <w:t xml:space="preserve">Dolgozatomban arra vállalkozom, hogy részletesen elemzem azokat a legérzékenyebb szabályozástechnikai részterületeket (a nemzetbiztonsági érdek fogalmát, a szolgálatok büntetőeljárás-kezdeményezési kötelezettségét és a konkrét bűncselekményekre irányuló felderítési hatásköröket), melyekben leginkább megmutatkozik a nemzetbiztonsági érdek és az állami büntetőigény összeegyeztetésének nehézsége. Elemzésemben megállapítom, hogy az e részterületeken hosszú idő óta érvényesülő szabályozási elvek alapjaikban helyesek, azonban helyeként szükségesnek mutatkozik az ágazati normák és a mögöttük álló szakmai-jogalkotói koncepciók megbomlott összhangjának helyreállítása. Ennek érdekében dolgozatom végén megfogalmazom saját szabályozási javaslataimat is, melyek az Alkotmányvédelmi Hivatal és a Katonai Nemzetbiztonsági Szolgálat bűnfelderítési hatásköreit érintik.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75840">
    <w:multiLevelType w:val="hybridMultilevel"/>
    <w:lvl w:ilvl="0" w:tplc="88382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75840">
    <w:abstractNumId w:val="85675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884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