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BARNABÁS HORVÁTH</w:t>
            </w:r>
          </w:p>
          <w:p w:rsidR="00C275A3" w:rsidRDefault="00CA6B74" w:rsidP="00C275A3">
            <w:pPr>
              <w:pStyle w:val="Hallgatokepzes"/>
            </w:pPr>
            <w:r w:rsidRPr="001067CD">
              <w:rPr>
                <w:i/>
              </w:rPr>
              <w:t>viktorbhorvath@gmail.com</w:t>
            </w:r>
            <w:r w:rsidRPr="001067CD">
              <w:rPr>
                <w:i/>
              </w:rPr>
              <w:br/>
            </w:r>
            <w:r w:rsidR="00A96AEC">
              <w:t>law</w:t>
            </w:r>
            <w:r w:rsidR="00A96AEC">
              <w:br/>
            </w:r>
            <w:r w:rsidR="00E77B23">
              <w:t>Unified, 9. semester</w:t>
            </w:r>
          </w:p>
          <w:p w:rsidR="00C265CE" w:rsidRPr="009E5FF1" w:rsidRDefault="00E77B23" w:rsidP="00BA6BAF">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Gábor Molnár </w:t>
            </w:r>
          </w:p>
          <w:p w:rsidR="00DB4822" w:rsidRDefault="00DB4822" w:rsidP="00BA6BAF">
            <w:pPr>
              <w:pStyle w:val="Konzulensektitulus"/>
            </w:pPr>
            <w:r w:rsidRPr="00DB4822">
              <w:t>lecturer,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Undercover Relationship? Connections between the national security operations and the criminal procedure, with particular regard to the crime detection powers of the national security services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national security, criminal procedure, crime detection, Constitution Protection Office, Military National Security Service</w:t>
      </w:r>
      <w:r>
        <w:t xml:space="preserve"/>
      </w:r>
    </w:p>
    <w:p>
      <w:pPr>
        <w:widowControl w:val="on"/>
        <w:pBdr/>
        <w:spacing w:before="240" w:after="240" w:line="240" w:lineRule="auto"/>
        <w:ind w:left="0" w:right="0"/>
        <w:jc w:val="left"/>
      </w:pPr>
      <w:r>
        <w:rPr>
          <w:color w:val="000000"/>
          <w:sz w:val="24"/>
          <w:szCs w:val="24"/>
        </w:rPr>
        <w:t xml:space="preserve">We may easily believe that the operation of the national security services and the criminal procedure are well-separated fields. The national security services are to further the national security interests of Hungary, while the organs of the criminal justice service are aimed to exert the state’s exclusive criminal jurisdiction via criminal proceedings. The field of national security and the criminal procedure are also separated from a legal point of view, since in the Hungarian legal system, one act of parliament governs the national security services, and another the criminal proceedings. However, the division of these two special fields shall be considered neither obvious, nor complete.</w:t>
      </w:r>
      <w:r>
        <w:rPr>
          <w:color w:val="000000"/>
          <w:sz w:val="24"/>
          <w:szCs w:val="24"/>
        </w:rPr>
        <w:br/>
        <w:t xml:space="preserve">The Hungarian ruling on the national security sector constitutes a close relation between the national security services and the criminal procedure. The reason of this is that the effective Act CXXV of 1995 on the national security services, and even the previous interim piece of legislation concerning the subject-matter, invested some of the national security services with the power of detecting concrete criminal offences.</w:t>
      </w:r>
      <w:r>
        <w:rPr>
          <w:color w:val="000000"/>
          <w:sz w:val="24"/>
          <w:szCs w:val="24"/>
        </w:rPr>
        <w:br/>
        <w:t xml:space="preserve">We may pose the question whether the national security services, which are not to act as organs of the criminal justice system, could harmonise the national security interests with the interests of the criminal jurisdiction. Is it necessary for the national security services to act as criminal justice authorities? Or is it preferable to empower the national security services with a wide discretion?</w:t>
      </w:r>
      <w:r>
        <w:rPr>
          <w:color w:val="000000"/>
          <w:sz w:val="24"/>
          <w:szCs w:val="24"/>
        </w:rPr>
        <w:br/>
        <w:t xml:space="preserve">In my paper, my aim is to analyse those most complicated fields of the relevant ruling, where the harmonisation of the national security and criminal justice interests could be observed in its complex nature. These are the definition of the national security interest, the obligation of the national security services to initiate criminal proceedings and the concrete crime detection powers of the services. In my paper, my conclusion is that the regulatory principles applied at this filed since the 90’s are still to be followed. Nevertheless, it seems to be necessary to re-harmonise the effective norms with the original legislative conceptions in certain cases. At the end of my paper, I recommend some regulative modifications concerning the crime detection powers of the Constitution Protection Office and the Military National Security Service.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74157">
    <w:multiLevelType w:val="hybridMultilevel"/>
    <w:lvl w:ilvl="0" w:tplc="86419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74157">
    <w:abstractNumId w:val="636741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82548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