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GALACZI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galaczi.kitti@gmail.com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Katalin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Bűncselekmény a diákcsíny? – az iskolai kortárs erőszak jelensége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iskolai kortárserőszak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1970-es évek elejétől kezdve egyre nagyobb teret és figyelmet kap az iskolai erőszak</w:t>
      </w:r>
      <w:r>
        <w:rPr>
          <w:color w:val="000000"/>
          <w:sz w:val="24"/>
          <w:szCs w:val="24"/>
        </w:rPr>
        <w:br/>
        <w:t xml:space="preserve">kérdése, ugyan a jelenség nem újkeletű mindig is része lesz az iskolai működésnek, a kérdés,</w:t>
      </w:r>
      <w:r>
        <w:rPr>
          <w:color w:val="000000"/>
          <w:sz w:val="24"/>
          <w:szCs w:val="24"/>
        </w:rPr>
        <w:br/>
        <w:t xml:space="preserve">hogy milyen formában, mennyire súlyosan jelenik meg. A probléma egyre inkább</w:t>
      </w:r>
      <w:r>
        <w:rPr>
          <w:color w:val="000000"/>
          <w:sz w:val="24"/>
          <w:szCs w:val="24"/>
        </w:rPr>
        <w:br/>
        <w:t xml:space="preserve">kikerülhetetlen, számos formája van és megjelenhet bárhol és bármikor. Az utóbbi években</w:t>
      </w:r>
      <w:r>
        <w:rPr>
          <w:color w:val="000000"/>
          <w:sz w:val="24"/>
          <w:szCs w:val="24"/>
        </w:rPr>
        <w:br/>
        <w:t xml:space="preserve">egyre súlyosabbak a tendenciák arra vonatkozóan hogyan nő az iskolások egymás közötti</w:t>
      </w:r>
      <w:r>
        <w:rPr>
          <w:color w:val="000000"/>
          <w:sz w:val="24"/>
          <w:szCs w:val="24"/>
        </w:rPr>
        <w:br/>
        <w:t xml:space="preserve">bántalmazása, amit a bullying valódi formájának tekintenek. A téma aktualitását adja, hogy</w:t>
      </w:r>
      <w:r>
        <w:rPr>
          <w:color w:val="000000"/>
          <w:sz w:val="24"/>
          <w:szCs w:val="24"/>
        </w:rPr>
        <w:br/>
        <w:t xml:space="preserve">napjainkban szinte nem telik el újabb hét, hogy ne találkoznánk olyan hírrel, ami egy újabb</w:t>
      </w:r>
      <w:r>
        <w:rPr>
          <w:color w:val="000000"/>
          <w:sz w:val="24"/>
          <w:szCs w:val="24"/>
        </w:rPr>
        <w:br/>
        <w:t xml:space="preserve">tragikus iskolai eseményt tükröz. Hiába van egyre nagyobb törekvés a bullying és a cyber-</w:t>
      </w:r>
      <w:r>
        <w:rPr>
          <w:color w:val="000000"/>
          <w:sz w:val="24"/>
          <w:szCs w:val="24"/>
        </w:rPr>
        <w:br/>
        <w:t xml:space="preserve">bullying visszaszorítására, úgy tűnik az iskolai zaklatások száma nem csökken. Mi számít</w:t>
      </w:r>
      <w:r>
        <w:rPr>
          <w:color w:val="000000"/>
          <w:sz w:val="24"/>
          <w:szCs w:val="24"/>
        </w:rPr>
        <w:br/>
        <w:t xml:space="preserve">iskolai kortárserőszaknak? Hogyan és miért válik valakiből zaklató, áldozat vagy szemlélő?</w:t>
      </w:r>
      <w:r>
        <w:rPr>
          <w:color w:val="000000"/>
          <w:sz w:val="24"/>
          <w:szCs w:val="24"/>
        </w:rPr>
        <w:br/>
        <w:t xml:space="preserve">Egyes bántalmazási formák kimerítik a büntető törvénykönyv valamely tényállását. Milyen</w:t>
      </w:r>
      <w:r>
        <w:rPr>
          <w:color w:val="000000"/>
          <w:sz w:val="24"/>
          <w:szCs w:val="24"/>
        </w:rPr>
        <w:br/>
        <w:t xml:space="preserve">bűncselekmények valósulnak meg az iskolai erőszak keretein belül a diákok körében? A</w:t>
      </w:r>
      <w:r>
        <w:rPr>
          <w:color w:val="000000"/>
          <w:sz w:val="24"/>
          <w:szCs w:val="24"/>
        </w:rPr>
        <w:br/>
        <w:t xml:space="preserve">dolgozatomban arra keresem a választ, hogy az iskolai kortárserőszak (bullying) hogyan jelenik</w:t>
      </w:r>
      <w:r>
        <w:rPr>
          <w:color w:val="000000"/>
          <w:sz w:val="24"/>
          <w:szCs w:val="24"/>
        </w:rPr>
        <w:br/>
        <w:t xml:space="preserve">meg a napjainkban Magyarországon, az egyes bűncselekmények bemutatásával, amelyeket a</w:t>
      </w:r>
      <w:r>
        <w:rPr>
          <w:color w:val="000000"/>
          <w:sz w:val="24"/>
          <w:szCs w:val="24"/>
        </w:rPr>
        <w:br/>
        <w:t xml:space="preserve">diákok egymás ellen követnek el, elemzem, hogy megvalósítják-e a bullying elemeit. A</w:t>
      </w:r>
      <w:r>
        <w:rPr>
          <w:color w:val="000000"/>
          <w:sz w:val="24"/>
          <w:szCs w:val="24"/>
        </w:rPr>
        <w:br/>
        <w:t xml:space="preserve">hipotézisem, hogy a büntető törvénykönyv tényállásai nem fedik le a bullying-ot vagyis iskolai</w:t>
      </w:r>
      <w:r>
        <w:rPr>
          <w:color w:val="000000"/>
          <w:sz w:val="24"/>
          <w:szCs w:val="24"/>
        </w:rPr>
        <w:br/>
        <w:t xml:space="preserve">kortárserőszakot. Kis kitekintéssel, bemutatom, hogy más európai országok, mint Olaszország</w:t>
      </w:r>
      <w:r>
        <w:rPr>
          <w:color w:val="000000"/>
          <w:sz w:val="24"/>
          <w:szCs w:val="24"/>
        </w:rPr>
        <w:br/>
        <w:t xml:space="preserve">és Franciaország, hogyan próbál megküzdeni az iskolai erőszak kérdésével. Egyes európai</w:t>
      </w:r>
      <w:r>
        <w:rPr>
          <w:color w:val="000000"/>
          <w:sz w:val="24"/>
          <w:szCs w:val="24"/>
        </w:rPr>
        <w:br/>
        <w:t xml:space="preserve">országokban büntetőjogi szankciókat alkalmaznak a kérdésben, ez lehet a megoldás a probléma</w:t>
      </w:r>
      <w:r>
        <w:rPr>
          <w:color w:val="000000"/>
          <w:sz w:val="24"/>
          <w:szCs w:val="24"/>
        </w:rPr>
        <w:br/>
        <w:t xml:space="preserve">visszaszorítására? Franciaországban a büntetőjogi szabályozást megelőzően számos preventív</w:t>
      </w:r>
      <w:r>
        <w:rPr>
          <w:color w:val="000000"/>
          <w:sz w:val="24"/>
          <w:szCs w:val="24"/>
        </w:rPr>
        <w:br/>
        <w:t xml:space="preserve">intézkedést hoztak az iskolai erőszak megfékezésére, de ennek ellenére sem sikerült</w:t>
      </w:r>
      <w:r>
        <w:rPr>
          <w:color w:val="000000"/>
          <w:sz w:val="24"/>
          <w:szCs w:val="24"/>
        </w:rPr>
        <w:br/>
        <w:t xml:space="preserve">csökkenteni a számokat. Egyelőre a statisztikai adatok alapján, elmondható, hogy csökkenő</w:t>
      </w:r>
      <w:r>
        <w:rPr>
          <w:color w:val="000000"/>
          <w:sz w:val="24"/>
          <w:szCs w:val="24"/>
        </w:rPr>
        <w:br/>
        <w:t xml:space="preserve">számokat mutat a jelenség, kérdés, hogy ez mennyire a büntetőjog elrettentő eszközének</w:t>
      </w:r>
      <w:r>
        <w:rPr>
          <w:color w:val="000000"/>
          <w:sz w:val="24"/>
          <w:szCs w:val="24"/>
        </w:rPr>
        <w:br/>
        <w:t xml:space="preserve">számítható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1745">
    <w:multiLevelType w:val="hybridMultilevel"/>
    <w:lvl w:ilvl="0" w:tplc="53149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1745">
    <w:abstractNumId w:val="14421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5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