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GALACZI</w:t>
            </w:r>
          </w:p>
          <w:p w:rsidR="00C275A3" w:rsidRDefault="00CA6B74" w:rsidP="00C275A3">
            <w:pPr>
              <w:pStyle w:val="Hallgatokepzes"/>
            </w:pPr>
            <w:r w:rsidRPr="001067CD">
              <w:rPr>
                <w:i/>
              </w:rPr>
              <w:t>galaczi.kitti@gmail.com</w:t>
            </w:r>
            <w:r w:rsidRPr="001067CD">
              <w:rPr>
                <w:i/>
              </w:rPr>
              <w:br/>
            </w:r>
            <w:r w:rsidR="00A96AEC">
              <w:t>Law</w:t>
            </w:r>
            <w:r w:rsidR="00A96AEC">
              <w:br/>
            </w:r>
            <w:r w:rsidR="00E77B23">
              <w:t>Unified, 11. semester</w:t>
            </w:r>
          </w:p>
          <w:p w:rsidR="00C265CE" w:rsidRPr="009E5FF1" w:rsidRDefault="00E77B23" w:rsidP="00BA6BAF">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Renáta Horváth</w:t>
            </w:r>
          </w:p>
          <w:p w:rsidR="00DB4822" w:rsidRDefault="00DB4822" w:rsidP="00BA6BAF">
            <w:pPr>
              <w:pStyle w:val="Konzulensektitulus"/>
            </w:pPr>
            <w:r w:rsidRPr="00DB4822">
              <w:t>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Pranking a Crime? - The Phenomenon of Peer Violence in Hungarian Schools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school bullying</w:t>
      </w:r>
      <w:r>
        <w:t xml:space="preserve"/>
      </w:r>
    </w:p>
    <w:p>
      <w:pPr>
        <w:widowControl w:val="on"/>
        <w:pBdr/>
        <w:spacing w:before="240" w:after="240" w:line="240" w:lineRule="auto"/>
        <w:ind w:left="0" w:right="0"/>
        <w:jc w:val="left"/>
      </w:pPr>
      <w:r>
        <w:rPr>
          <w:color w:val="000000"/>
          <w:sz w:val="24"/>
          <w:szCs w:val="24"/>
        </w:rPr>
        <w:t xml:space="preserve">Since the early 1970s, violence in schools has received increasing attention. Although the phenomenon is not new, it has always been a part of how schools operate, in varying forms and degrees of severity. The problem is increasingly inescapable, manifesting in many forms and capable of appearing anywhere and at any time. In recent years, there have been increasingly serious trends in school violence, which are seen as real forms of bullying.</w:t>
      </w:r>
    </w:p>
    <w:p>
      <w:pPr>
        <w:widowControl w:val="on"/>
        <w:pBdr/>
        <w:spacing w:before="240" w:after="240" w:line="240" w:lineRule="auto"/>
        <w:ind w:left="0" w:right="0"/>
        <w:jc w:val="left"/>
      </w:pPr>
      <w:r>
        <w:rPr>
          <w:color w:val="000000"/>
          <w:sz w:val="24"/>
          <w:szCs w:val="24"/>
        </w:rPr>
        <w:t xml:space="preserve">The relevance of the topic lies in the fact that hardly a week goes by without a news story about another tragic school incident. Despite growing efforts to combat bullying and cyberbullying, the number of such incidents does not seem to be decreasing. What constitutes school bullying? How and why does someone become a bully, a victim, or a bystander?</w:t>
      </w:r>
    </w:p>
    <w:p>
      <w:pPr>
        <w:widowControl w:val="on"/>
        <w:pBdr/>
        <w:spacing w:before="240" w:after="240" w:line="240" w:lineRule="auto"/>
        <w:ind w:left="0" w:right="0"/>
        <w:jc w:val="left"/>
      </w:pPr>
      <w:r>
        <w:rPr>
          <w:color w:val="000000"/>
          <w:sz w:val="24"/>
          <w:szCs w:val="24"/>
        </w:rPr>
        <w:t xml:space="preserve">Some forms of bullying are covered under offenses defined in the Criminal Code. How do these offenses relate to school violence among students? In my thesis, I aim to answer the question of how bullying manifests in schools in Hungary today by presenting some of the crimes committed by students against each other and analyzing whether these acts qualify as bullying. My hypothesis is that the Criminal Code does not adequately address bullying, which encompasses peer violence in schools.</w:t>
      </w:r>
    </w:p>
    <w:p>
      <w:pPr>
        <w:widowControl w:val="on"/>
        <w:pBdr/>
        <w:spacing w:before="240" w:after="240" w:line="240" w:lineRule="auto"/>
        <w:ind w:left="0" w:right="0"/>
        <w:jc w:val="left"/>
      </w:pPr>
      <w:r>
        <w:rPr>
          <w:color w:val="000000"/>
          <w:sz w:val="24"/>
          <w:szCs w:val="24"/>
        </w:rPr>
        <w:t xml:space="preserve">With a brief digression, I will demonstrate how other European countries, such as Italy and France, approach the issue of school bullying. Some European countries apply criminal sanctions to address this issue. Could this be the solution to reducing the problem? In France, prior to the introduction of criminal legislation, several preventive measures were implemented to curb school violence, but these efforts did not significantly reduce the numbers. While current statistics show a downward trend in the phenomenon, the question remains whether criminal law serves as an effective deterrent to such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18407">
    <w:multiLevelType w:val="hybridMultilevel"/>
    <w:lvl w:ilvl="0" w:tplc="48056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18407">
    <w:abstractNumId w:val="17318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90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