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VARGA RÉKA FRUZSINA</w:t>
            </w:r>
          </w:p>
          <w:p w:rsidR="00C275A3" w:rsidRDefault="00CA6B74" w:rsidP="00C275A3">
            <w:pPr>
              <w:pStyle w:val="Hallgatokepzes"/>
            </w:pPr>
            <w:r w:rsidRPr="001067CD">
              <w:rPr>
                <w:i/>
              </w:rPr>
              <w:t>rekafruzsinavarga@gmail.com</w:t>
            </w:r>
            <w:r w:rsidRPr="001067CD">
              <w:rPr>
                <w:i/>
              </w:rPr>
              <w:br/>
            </w:r>
            <w:r w:rsidR="00A96AEC">
              <w:t>jogász</w:t>
            </w:r>
            <w:r w:rsidR="00A96AEC">
              <w:br/>
            </w:r>
            <w:r w:rsidR="00E77B23">
              <w:t>Osztatlan, 9. félév</w:t>
            </w:r>
          </w:p>
          <w:p w:rsidR="00C265CE" w:rsidRPr="009E5FF1" w:rsidRDefault="00E77B23" w:rsidP="00BA6BAF">
            <w:pPr>
              <w:pStyle w:val="Hallgatointezmeny-kar"/>
              <w:rPr>
                <w:b/>
                <w:caps/>
              </w:rPr>
            </w:pPr>
            <w:r>
              <w:t>Pázmány Péter Katolikus Egyetem</w:t>
            </w:r>
            <w:r w:rsidR="00C275A3">
              <w:br/>
            </w:r>
            <w:r w:rsidR="00DB4822">
              <w:t>Jog- és Államtudományi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Hajas Barnabás</w:t>
            </w:r>
          </w:p>
          <w:p w:rsidR="00DB4822" w:rsidRDefault="00DB4822" w:rsidP="00BA6BAF">
            <w:pPr>
              <w:pStyle w:val="Konzulensektitulus"/>
            </w:pPr>
            <w:r w:rsidRPr="00DB4822">
              <w:t>egyetemi docens,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Mellékes volna? A közügyektől eltiltás és a gyülekezési jog kapcsolata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mellékbüntetés, alapjogok, közügyektől eltiltás, politikai jogok, gyülekezési jog</w:t>
      </w:r>
      <w:r>
        <w:t xml:space="preserve"/>
      </w:r>
    </w:p>
    <w:p>
      <w:pPr>
        <w:widowControl w:val="on"/>
        <w:pBdr/>
        <w:spacing w:before="240" w:after="240" w:line="240" w:lineRule="auto"/>
        <w:ind w:left="0" w:right="0"/>
        <w:jc w:val="left"/>
      </w:pPr>
      <w:r>
        <w:rPr>
          <w:color w:val="000000"/>
          <w:sz w:val="24"/>
          <w:szCs w:val="24"/>
        </w:rPr>
        <w:t xml:space="preserve">A társadalom számára fontos, hogy a tagjait érintő döntéseket olyan személyek befolyásolják, akik képzettség és (legalábbis a jogi értelemben vett) erkölcsi feddhetetlenség alapján méltók rá. A Btk. a közügyektől eltiltás szabályai között rendelkezik erről.</w:t>
      </w:r>
    </w:p>
    <w:p>
      <w:pPr>
        <w:widowControl w:val="on"/>
        <w:pBdr/>
        <w:spacing w:before="240" w:after="240" w:line="240" w:lineRule="auto"/>
        <w:ind w:left="0" w:right="0"/>
        <w:jc w:val="left"/>
      </w:pPr>
      <w:r>
        <w:rPr>
          <w:color w:val="000000"/>
          <w:sz w:val="24"/>
          <w:szCs w:val="24"/>
        </w:rPr>
        <w:t xml:space="preserve">A szabályozás azonban több problémát felvet. Egyrészt, nincs lehetőség annak bírói mérlegelésére, hogy mely jogok szünetelnek a mellékbüntetés tartama alatt; a mérlegelés csak a közügyektől eltiltás időtartamára terjed ki. Másrészt a mellékbüntetés közvetlenül nem foglalja magában (az adott esetben jelentős közéleti hatással bíró) gyülekezési jog</w:t>
      </w:r>
      <w:r>
        <w:rPr>
          <w:color w:val="000000"/>
          <w:sz w:val="24"/>
          <w:szCs w:val="24"/>
        </w:rPr>
        <w:br/>
        <w:t xml:space="preserve">gyakorlásának korlátozását. A Gyülekezési Törvény gyűlés-definícióját olvasva különösnek tűnik az a jogalkotói megoldás, amely egészében kihagyja a tilalomból a közügyben történő véleménynyilvánítási céllal tartott, nyilvános rendezvénnyel kapcsolatos tevékenységeket, az egyes részjogosultságokra sem kitérve.</w:t>
      </w:r>
    </w:p>
    <w:p>
      <w:pPr>
        <w:widowControl w:val="on"/>
        <w:pBdr/>
        <w:spacing w:before="240" w:after="240" w:line="240" w:lineRule="auto"/>
        <w:ind w:left="0" w:right="0"/>
        <w:jc w:val="left"/>
      </w:pPr>
      <w:r>
        <w:rPr>
          <w:color w:val="000000"/>
          <w:sz w:val="24"/>
          <w:szCs w:val="24"/>
        </w:rPr>
        <w:t xml:space="preserve">A kérdés átfogó szabályozása érinti az alkotmányjog, a büntetőjog, a büntetés-végrehajtási jog és a közigazgatási jog területét is. Megvizsgáltam a közügyektől eltiltás történeti előzményeit, a jogintézmény bevezetése körüli élénk parlamenti vitákat, szakirodalmi elemzéseket, a jogalkotó mozgásterét meghatározó nemzetközi jogi és uniós jogi kereteket. Ezek feltárása után</w:t>
      </w:r>
      <w:r>
        <w:rPr>
          <w:color w:val="000000"/>
          <w:sz w:val="24"/>
          <w:szCs w:val="24"/>
        </w:rPr>
        <w:br/>
        <w:t xml:space="preserve">más országok jogi megoldásait is figyelembe véve javaslatot tettem egy arányosabb Btk.-beli szabályra. A javaslat négy pontja:</w:t>
      </w:r>
    </w:p>
    <w:p>
      <w:pPr>
        <w:widowControl w:val="on"/>
        <w:pBdr/>
        <w:spacing w:before="240" w:after="240" w:line="240" w:lineRule="auto"/>
        <w:ind w:left="0" w:right="0"/>
        <w:jc w:val="left"/>
      </w:pPr>
      <w:r>
        <w:rPr>
          <w:color w:val="000000"/>
          <w:sz w:val="24"/>
          <w:szCs w:val="24"/>
        </w:rPr>
        <w:t xml:space="preserve">1. A méltatlanság mint közügyektől eltiltás feltételének megőrzése, pontosítása</w:t>
      </w:r>
    </w:p>
    <w:p>
      <w:pPr>
        <w:widowControl w:val="on"/>
        <w:pBdr/>
        <w:spacing w:before="240" w:after="240" w:line="240" w:lineRule="auto"/>
        <w:ind w:left="0" w:right="0"/>
        <w:jc w:val="left"/>
      </w:pPr>
      <w:r>
        <w:rPr>
          <w:color w:val="000000"/>
          <w:sz w:val="24"/>
          <w:szCs w:val="24"/>
        </w:rPr>
        <w:t xml:space="preserve">2. A politikai jogok differenciált korlátozásának megteremtése</w:t>
      </w:r>
    </w:p>
    <w:p>
      <w:pPr>
        <w:widowControl w:val="on"/>
        <w:pBdr/>
        <w:spacing w:before="240" w:after="240" w:line="240" w:lineRule="auto"/>
        <w:ind w:left="0" w:right="0"/>
        <w:jc w:val="left"/>
      </w:pPr>
      <w:r>
        <w:rPr>
          <w:color w:val="000000"/>
          <w:sz w:val="24"/>
          <w:szCs w:val="24"/>
        </w:rPr>
        <w:t xml:space="preserve">3. Közhivatalviselés, választhatóság és a többi politikai jog kapcsolata</w:t>
      </w:r>
    </w:p>
    <w:p>
      <w:pPr>
        <w:widowControl w:val="on"/>
        <w:pBdr/>
        <w:spacing w:before="240" w:after="240" w:line="240" w:lineRule="auto"/>
        <w:ind w:left="0" w:right="0"/>
        <w:jc w:val="left"/>
      </w:pPr>
      <w:r>
        <w:rPr>
          <w:color w:val="000000"/>
          <w:sz w:val="24"/>
          <w:szCs w:val="24"/>
        </w:rPr>
        <w:t xml:space="preserve">4. A gyülekezési jog egyes részjogosítványainak korlátozása közügyektől eltiltás által</w:t>
      </w:r>
    </w:p>
    <w:p>
      <w:pPr>
        <w:widowControl w:val="on"/>
        <w:pBdr/>
        <w:spacing w:before="240" w:after="240" w:line="240" w:lineRule="auto"/>
        <w:ind w:left="0" w:right="0"/>
        <w:jc w:val="left"/>
      </w:pPr>
      <w:r>
        <w:rPr>
          <w:color w:val="000000"/>
          <w:sz w:val="24"/>
          <w:szCs w:val="24"/>
        </w:rPr>
        <w:t xml:space="preserve">Egy ilyen szabályozás lehetőséget ad az egyes politikai jogok differenciált, személyre szabott korlátozására, és nem hagyja figyelmen kívül az egyre nagyobb aktualitással bíró gyülekezési jog kérdését. Tekintetbe veszi az Emberi Jogok Európai Bírósága gyakorlatát és a különböző nemzetközi emberi jogi egyezmények korlátozási alapelveit, az Alkotmánybíróság által</w:t>
      </w:r>
      <w:r>
        <w:rPr>
          <w:color w:val="000000"/>
          <w:sz w:val="24"/>
          <w:szCs w:val="24"/>
        </w:rPr>
        <w:br/>
        <w:t xml:space="preserve">kidolgozott szempontrendszerrel is összhangban áll. A javaslat kiegyensúlyozottabb büntetőjogi értékelést tenne lehetővé a politikai jogok korlátozása területén; az érintett közigazgatási jogi rendszer szerkezetének megváltoztatása nélkül, annak előnyeit továbbra is megőrizve.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182244">
    <w:multiLevelType w:val="hybridMultilevel"/>
    <w:lvl w:ilvl="0" w:tplc="640162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182244">
    <w:abstractNumId w:val="421822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01632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