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MAUCHA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maucha.agi@gmail.com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Kurunczi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Hazugság vagy politikai vélemény? - Rágalmazási jog a választási kampány időszakában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véleménynyilvánítás szabadsága, választási kampány, közéleti szereplő, Alkotmánybíróság, politikai vélemény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politikusok hazugságainak kérdésköre mindig is foglalkoztatta az embereket, ennek ellenére, a mai napig nem egyértelmű, hogy hogyan kéne azt szabályozni. Kutatásom témáját a kérdéskörnek egy szelete, a politikusok egymásról, a választási kampány időszakában tett valótlan állításai adják. A magyar Alkotmánybíróság ugyanis több ízben úgy döntött, hogy a választási kampány időszakában a véleménynyilvánítás szabadsága akkor is védelmet nyújt a politikusok egymásról tett nyilatkozatainak, ha azok objektíve valótlan állítást tartalmaznak. A testület álláspontja szerint az valótlan állítás üzentet tartalmaz a választópolgárok számára. Ezt ők értik és a helyén kezelik, így az nem is a valótlan tényállítás, hanem a politikai vélemény kategóriájába esik, amit a véleménynyilvánítás szabadsága véd. Dolgozatomban azt vizsgáltam, hogy az Alkotmánybíróság ezen gyakorlata összhangban áll-e a választási kampány céljával.</w:t>
      </w:r>
      <w:r>
        <w:rPr>
          <w:color w:val="000000"/>
          <w:sz w:val="24"/>
          <w:szCs w:val="24"/>
        </w:rPr>
        <w:br/>
        <w:t xml:space="preserve">Kutatásom eredményeként megállapítottam, hogy a fent említett gyakorlat nem áll összhangban a kampány céljával. Annak célja ugyanis, hogy a választópolgárok a választás napján tájékozott döntést tudjanak hozni. Az Alkotmánybíróság határozataiban politikai véleménynek minősített tényállítások mögöttes jelentésének megértése olykor igen magas tájékozottsági szintet igényel a választópolgároktól. Álláspontom szerint kampány céljával csak olyan közlések védelme elegyeztethető össze, amelyek érthetőek egy átlagos választópolgár számára. Indokoltnak látom továbbá a gyakorlat összeegyeztetését a Választási eljárásról szóló 2013. évi XXXVI. törvény jóhiszemű és rendeltetésszerű joggyakorlást előíró alapelvével, illetve az alapjog gyakorlásáért való felelősséggel.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05464">
    <w:multiLevelType w:val="hybridMultilevel"/>
    <w:lvl w:ilvl="0" w:tplc="48648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05464">
    <w:abstractNumId w:val="86105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11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