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GERSTNER LAURA JOHANNA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laura.gerstner2003@gmail.com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Alkotmányjogi magyar narancs? - A diszkrimináció elleni küzdelem és az ombudsman intézményének összekapcsolódása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diszkrimináció elleni küzdelem; ombudsman; Egyenlő Bánásmódért Felelős Főigazgatóság; összeolvadás; jogérvényesítés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diszkrimináció elleni küzdelem örökzöld téma a nyugati civilizációkban. A kérdés különösen aktuálisnak tekinthető hazánkban, mivel 2021-ben az Egyenlő Bánásmód Hatóság beolvadt az Alapvető Jogok Biztosának Hivatalába, így jelentősen módosult a diszkrimináció elleni védelem intézményrendszere. Ezen szervezeti átalakítást számos kritika érte. Dolgozatom célja, hogy megvizsgálja ezek létjogosultságát, az Egyenlő Bánásmód Hatóság beolvadása következtében kialakult helyzetet, valamint az alapvető jogok biztosának tevékenységét a diszkriminációs ügyek szempontjából.</w:t>
      </w:r>
      <w:r>
        <w:rPr>
          <w:color w:val="000000"/>
          <w:sz w:val="24"/>
          <w:szCs w:val="24"/>
        </w:rPr>
        <w:br/>
        <w:t xml:space="preserve">Kutatásom eredményeként megállapítható, hogy a jelen szervezeti keretek között az alapvető jogok biztosa nem megfelelően, nem a kellő hatékonysággal látja el az egyenlő bánásmód védelmével kapcsolatos kötelezettségeit. Az Egyenlő Bánásmód Hatóság beolvadása az Alapvető Jogok Biztosának Hivatalába olyan rendszertani problémákat szült, ami nem csak dogmatikailag feloldhatatlan, hanem a hatékony jogérvényesítésnek is gátját szabja. Álláspontom szerint az egyenlő bánásmód követelményének megfelelő érvényre juttatása csakis úgy lenne garantálható, ha ismét egy független hatóság felügyelné. Nem nyugodhatunk bele, hogy a magyar narancs „kicsit sárgább, kicsit savanyú, de a miénk”, hanem mindent meg kell tennünk a diszkrimináció elleni fellépés intézményi kereteinek, hatékonyságának optimalizálása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44585">
    <w:multiLevelType w:val="hybridMultilevel"/>
    <w:lvl w:ilvl="0" w:tplc="53768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44585">
    <w:abstractNumId w:val="712445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098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