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DETRE CSONGOR ISTVÁN</w:t>
            </w:r>
          </w:p>
          <w:p w:rsidR="00C275A3" w:rsidRDefault="00CA6B74" w:rsidP="00C275A3">
            <w:pPr>
              <w:pStyle w:val="Hallgatokepzes"/>
            </w:pPr>
            <w:r w:rsidRPr="001067CD">
              <w:rPr>
                <w:i/>
              </w:rPr>
              <w:t>csongordetre@gmail.com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Kurunczi Gábor</w:t>
            </w:r>
          </w:p>
          <w:p w:rsidR="00DB4822" w:rsidRDefault="00DB4822" w:rsidP="00BA6BAF">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Történeti alkotmányunk vívmányainak hordozói a XXI. századi magyar alkotmányos rendszerben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történeti alkotmány; alkotmánytörténet; vívmány; alkotmánybíróság; alkotmányértelmezés</w:t>
      </w:r>
      <w:r>
        <w:t xml:space="preserve"/>
      </w:r>
    </w:p>
    <w:p>
      <w:pPr>
        <w:widowControl w:val="on"/>
        <w:pBdr/>
        <w:spacing w:before="240" w:after="240" w:line="240" w:lineRule="auto"/>
        <w:ind w:left="0" w:right="0"/>
        <w:jc w:val="left"/>
      </w:pPr>
      <w:r>
        <w:rPr>
          <w:color w:val="000000"/>
          <w:sz w:val="24"/>
          <w:szCs w:val="24"/>
        </w:rPr>
        <w:t xml:space="preserve">Magyarország Alaptörvénye olyan kapcsolatot teremt a dogmatikus alapokon nyugvó kartális alkotmány és történeti fejlődés által kimunkált alkotmány és annak vívmányai közt, amelynek nemzetközi párhuzamait nem találjuk. Az újszerű kihívás kérdéseket vetett fel az alkotmánytörténeti, valamint a hatályos alkotmányjogi diszciplína határterületén.</w:t>
      </w:r>
      <w:r>
        <w:rPr>
          <w:color w:val="000000"/>
          <w:sz w:val="24"/>
          <w:szCs w:val="24"/>
        </w:rPr>
        <w:br/>
        <w:t xml:space="preserve">Mi a magyar történeti alkotmány? Mik annak jellegzetes vonásai és mik a vívmányai? Miként funkcionálhatnak ezek mint keret az Alaptörvény rendelkezéseinek helyes értelmezésekor?</w:t>
      </w:r>
      <w:r>
        <w:rPr>
          <w:color w:val="000000"/>
          <w:sz w:val="24"/>
          <w:szCs w:val="24"/>
        </w:rPr>
        <w:br/>
        <w:t xml:space="preserve">A megfogalmazott kérdésekre akkor adhatunk választ, ha az alaptörvényi rendelkezésekkel kapcsolatos joggyakorlatot — mindenekelőtt az Alkotmánybíróság gyakorlatát — az alkotmánytörténet tükrében vizsgáljuk. A dolgozat ennek megfelelően az alkotmánytörténeti megalapozást követően, arra tekintettel elmezi az alkotmánybírósági gyakorlatot.</w:t>
      </w:r>
      <w:r>
        <w:rPr>
          <w:color w:val="000000"/>
          <w:sz w:val="24"/>
          <w:szCs w:val="24"/>
        </w:rPr>
        <w:br/>
        <w:t xml:space="preserve">Az Alkotmánybíróság határozatai alapján körvonalazódik egyrészről egy olyan értéklista, melyet a történeti alkotmány vívmányaként azonosított és amely alkalmas Magyarország alkotmányos identitásának meghatározására, másrészről számos olyan jogi megoldás, mely előképe a hatályos közjog intézményeinek, így az egyes alkotmányos tételek jelentéstartalmának megállapításához szolgáltathat szempontokat.</w:t>
      </w:r>
      <w:r>
        <w:rPr>
          <w:color w:val="000000"/>
          <w:sz w:val="24"/>
          <w:szCs w:val="24"/>
        </w:rPr>
        <w:br/>
        <w:t xml:space="preserve">A testület gyakorlatát azonban egységes és következetesen alkalmazott módszertan hiányában sok bizonytalanság övezi. Az Alkotmánybíróság és az alkotmánytörténeti irodalom által a magyar történeti alkotmányról, és annak vívmányairól alkotott kép ugyanis nem feltétlenül egyezik. Az Alkotmánybíróság gyakorlatának elemzése során, — figyelemmel a történeti alkotmányok dogmatikus alapon nyugvó alkotmányjogi gondolkodástól idegen jegyeire — több kritika is megfogalmazható. Ilyenek egyrészről a történeti alkotmány forrásainak meghatározásával, másrészről a vívmányok azonosításakor alkalmazott módszerekkel kapcsolatos következetlenségek. Ezek a sok esetben nem segítik a magyar jogi és intézménytörténeti tradíciók beépülését a hatályos jogrendszerbe, sőt fokozzák a történeti alkotmány vívmányaival kapcsolatos bizonytalanságokat. Az Alaptörvény kógens rendelkezésinek ugyanis csak abban az esetben lehet eleget tenni, ha magyar közjogi tradíciókat körültekintően, valós természetüket figyelembevéve építjük be alkotmányjogi gondolkodásunkba, és fenntartjuk, illetve fokozzuk az alkotmánytörténet és az alkotmányjog közti ’párbeszédet’.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10496">
    <w:multiLevelType w:val="hybridMultilevel"/>
    <w:lvl w:ilvl="0" w:tplc="18589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10496">
    <w:abstractNumId w:val="60210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807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