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FRISCH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bencefrisch@gmail.com</w:t>
            </w:r>
            <w:r w:rsidRPr="001067CD">
              <w:rPr>
                <w:i/>
              </w:rPr>
              <w:br/>
            </w:r>
            <w:r w:rsidR="00A96AEC">
              <w:t>Jog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Berkes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a magyaroké? A vendégmunkásokra irányadó hazai szabályozás anomáliái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vendégmunkás, joggal való visszaélés, családegyesítés, Preambulum, egyenlőség elve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az a harmadik országbeli állampolgárok beutazására és tartózkodására vonatkozó általános szabályokról szóló 2023. évi XC. törvényben (Btátv.) bekövetkezett anyagi-és eljárásjogi változásai adják, különösképp a vendégmunkások tekintetében.</w:t>
      </w:r>
      <w:r>
        <w:rPr>
          <w:color w:val="000000"/>
          <w:sz w:val="24"/>
          <w:szCs w:val="24"/>
        </w:rPr>
        <w:br/>
        <w:t xml:space="preserve">Habár a szabályozás célja lenne a magyar munkavállalók védelme a külföldi munkaerővel szemben, ennek ellenére megvalósulása kétséges: A Btátv. ugyanis keretszabályokat fogalmaz meg, a kormányrendeletek és további jogszabályok nem szabályozzák megfelelően az esetlegesen munkáltatói visszaélést. Ennek következtében a harmadik országbeli munkavállalók (leginkább a vendégmunkások) olyan kiszolgáltatott helyzetbe kerülnek, ami már a magyar munkaerő alkalmazásának veszélyeztetését vonják maguk után. A Btátv. lehetővé teszi, hogy vendégmunkások jogai a munkáltatónak fokozottabb módon legyenek kitéve. Azáltal, hogy a jogalkotó igyekszik kivonni magát az idegenrendészeti eljárásból és fokozottabb szerepet ad a munkáltatónak, megteremti a harmadik országbeli munkavállalókkal szembeni visszaélésének lehetőségét és a joggal való visszaélés tilalmának megsértése potenciálisan felmerülhet munkajogi viták során. Közvetett módon közigazgatási jogi-idegenrendészeti elemek is megjelennek az eljárás során, ami miatt megnehezül a jogvédelem biztosítása. Pontosan ezen elemek miatt kellene a nagyobb beavatkozás és részletesebb szabályozás.</w:t>
      </w:r>
      <w:r>
        <w:rPr>
          <w:color w:val="000000"/>
          <w:sz w:val="24"/>
          <w:szCs w:val="24"/>
        </w:rPr>
        <w:br/>
        <w:t xml:space="preserve">Ez a fajta kiszolgáltatottsági helyzetet a Btátv. sem könnyíti meg. A Btátv. 71. § (4) bekezdése a családegyesítés lehetőségét valamennyi munkavállalási, illetve további tartózkodási engedélytípusokat magába foglaló indítványozói rétegeknél kifejezetten megtiltotta, mint például a tanulmányi képzési célú tartózkodási engedélyek esetében. Pedig a Tanács 2003/86/EK irányelv fő célja lenne, hogy lehetővé tegye az EU területén jogszerűen tartózkodó nem uniós állampolgárok családtagjai számára, hogy velük a tartózkodás helye szerinti EU-tagállamban egyesüljenek, hiszen ezáltal a családi egység védelme és a harmadik országbeli állampolgárok beilleszkedésének elősegítése valósulna meg.</w:t>
      </w:r>
      <w:r>
        <w:rPr>
          <w:color w:val="000000"/>
          <w:sz w:val="24"/>
          <w:szCs w:val="24"/>
        </w:rPr>
        <w:br/>
        <w:t xml:space="preserve">A törvény rendelkezései álláspontom szerint lehetővé teszi vendégmunkásokkal szembeni munkáltatói visszaélést és közvetett módon ellehetetleníti a magyar munkavállalók alkalmazásának lehetőségét azáltal, hogy lehetőséget teremt a helyi munkaerő kizárására és az ezzel való visszaélésre érdemben nem tud reagálni sem a jogalkotó, a hatóság vagy a jogalkalmazó. Ezáltal a törvény célja nem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37015">
    <w:multiLevelType w:val="hybridMultilevel"/>
    <w:lvl w:ilvl="0" w:tplc="76371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37015">
    <w:abstractNumId w:val="631370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613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