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RIGÓ ZSOMBOR MÁRTON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rzsm0925@gmail.com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Alapjogi bíráskodás? Az alkotmányjogi panasszal kapcsolatos egyes eljárásjogi kérdések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Alkotmánybíróság, alkotmányjogi panasz, tisztességes eljárás, alkotmánybírósági eljárás, jogorvoslat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Alaptörvény alapjaiban változtatta meg az alkotmánybíráskodást azáltal, hogy a szubjektív</w:t>
      </w:r>
      <w:r>
        <w:rPr>
          <w:color w:val="000000"/>
          <w:sz w:val="24"/>
          <w:szCs w:val="24"/>
        </w:rPr>
        <w:br/>
        <w:t xml:space="preserve">alapjogvédelem hatékony ellátására alkalmas alkotmányjogi panaszt tette meg az</w:t>
      </w:r>
      <w:r>
        <w:rPr>
          <w:color w:val="000000"/>
          <w:sz w:val="24"/>
          <w:szCs w:val="24"/>
        </w:rPr>
        <w:br/>
        <w:t xml:space="preserve">Alkotmánybíróság jellegadó hatáskörévé. A panasz lényegében egy újabb jogorvoslati</w:t>
      </w:r>
      <w:r>
        <w:rPr>
          <w:color w:val="000000"/>
          <w:sz w:val="24"/>
          <w:szCs w:val="24"/>
        </w:rPr>
        <w:br/>
        <w:t xml:space="preserve">lehetőséget jelent az indítványozó számára és aktív kapcsolatot teremt az Alkotmánybíróság és</w:t>
      </w:r>
      <w:r>
        <w:rPr>
          <w:color w:val="000000"/>
          <w:sz w:val="24"/>
          <w:szCs w:val="24"/>
        </w:rPr>
        <w:br/>
        <w:t xml:space="preserve">a rendes bíróságok között.</w:t>
      </w:r>
      <w:r>
        <w:rPr>
          <w:color w:val="000000"/>
          <w:sz w:val="24"/>
          <w:szCs w:val="24"/>
        </w:rPr>
        <w:br/>
        <w:t xml:space="preserve">Az Alkotmánybíróság azonban nem bíróság, nem a rendes bíróságok fellebbviteli fóruma,</w:t>
      </w:r>
      <w:r>
        <w:rPr>
          <w:color w:val="000000"/>
          <w:sz w:val="24"/>
          <w:szCs w:val="24"/>
        </w:rPr>
        <w:br/>
        <w:t xml:space="preserve">mivel a konkrét ügy alapjogi érintettségét vizsgálja felül. Az alkotmányjogi panasz nem rendes</w:t>
      </w:r>
      <w:r>
        <w:rPr>
          <w:color w:val="000000"/>
          <w:sz w:val="24"/>
          <w:szCs w:val="24"/>
        </w:rPr>
        <w:br/>
        <w:t xml:space="preserve">jogorvoslat, attól meg kell különböztetni, mint alkotmányos jogorvoslatot. Az</w:t>
      </w:r>
      <w:r>
        <w:rPr>
          <w:color w:val="000000"/>
          <w:sz w:val="24"/>
          <w:szCs w:val="24"/>
        </w:rPr>
        <w:br/>
        <w:t xml:space="preserve">Alkotmánybíróság tevékenysége alapján nem tekinthető bíróságnak, eljárása nem</w:t>
      </w:r>
      <w:r>
        <w:rPr>
          <w:color w:val="000000"/>
          <w:sz w:val="24"/>
          <w:szCs w:val="24"/>
        </w:rPr>
        <w:br/>
        <w:t xml:space="preserve">kontradiktórius, nem döntheti el végleges a jogvitákat és nem része a bírósági</w:t>
      </w:r>
      <w:r>
        <w:rPr>
          <w:color w:val="000000"/>
          <w:sz w:val="24"/>
          <w:szCs w:val="24"/>
        </w:rPr>
        <w:br/>
        <w:t xml:space="preserve">szervezetrendszernek.</w:t>
      </w:r>
      <w:r>
        <w:rPr>
          <w:color w:val="000000"/>
          <w:sz w:val="24"/>
          <w:szCs w:val="24"/>
        </w:rPr>
        <w:br/>
        <w:t xml:space="preserve">A testület azonban kétségtelenül az igazságszolgáltatás körébe tartozó feladatokat lát el, ezért</w:t>
      </w:r>
      <w:r>
        <w:rPr>
          <w:color w:val="000000"/>
          <w:sz w:val="24"/>
          <w:szCs w:val="24"/>
        </w:rPr>
        <w:br/>
        <w:t xml:space="preserve">az alkotmányjogi panasszal kapcsolatos eljárásának meg kell felelnie a tisztességes eljárás</w:t>
      </w:r>
      <w:r>
        <w:rPr>
          <w:color w:val="000000"/>
          <w:sz w:val="24"/>
          <w:szCs w:val="24"/>
        </w:rPr>
        <w:br/>
        <w:t xml:space="preserve">követelményeinek. Az Alkotmánybíróságra vonatkozó eljárási szabályok sok tekintetben</w:t>
      </w:r>
      <w:r>
        <w:rPr>
          <w:color w:val="000000"/>
          <w:sz w:val="24"/>
          <w:szCs w:val="24"/>
        </w:rPr>
        <w:br/>
        <w:t xml:space="preserve">különböznek más jogágak eljárási szabályaitól, ezért dolgozatomban részben azt vizsgáltam,</w:t>
      </w:r>
      <w:r>
        <w:rPr>
          <w:color w:val="000000"/>
          <w:sz w:val="24"/>
          <w:szCs w:val="24"/>
        </w:rPr>
        <w:br/>
        <w:t xml:space="preserve">hogy miképpen érvényesül a tisztességes eljárás követelménye az alkotmánybírósági</w:t>
      </w:r>
      <w:r>
        <w:rPr>
          <w:color w:val="000000"/>
          <w:sz w:val="24"/>
          <w:szCs w:val="24"/>
        </w:rPr>
        <w:br/>
        <w:t xml:space="preserve">eljárásban. Az eljárás tisztességessége az Alkotmánybíróság előtti eljárás jellegzetességeihez</w:t>
      </w:r>
      <w:r>
        <w:rPr>
          <w:color w:val="000000"/>
          <w:sz w:val="24"/>
          <w:szCs w:val="24"/>
        </w:rPr>
        <w:br/>
        <w:t xml:space="preserve">mérten összességében megvalósul, viszont például az ügy ésszerű időn belüli elbírálásának, a</w:t>
      </w:r>
      <w:r>
        <w:rPr>
          <w:color w:val="000000"/>
          <w:sz w:val="24"/>
          <w:szCs w:val="24"/>
        </w:rPr>
        <w:br/>
        <w:t xml:space="preserve">fegyverek egyenlőségének vagy a nyilvánosság elvének hangsúlyosabban kellene megjelennie</w:t>
      </w:r>
      <w:r>
        <w:rPr>
          <w:color w:val="000000"/>
          <w:sz w:val="24"/>
          <w:szCs w:val="24"/>
        </w:rPr>
        <w:br/>
        <w:t xml:space="preserve">a testület eljárásában.</w:t>
      </w:r>
      <w:r>
        <w:rPr>
          <w:color w:val="000000"/>
          <w:sz w:val="24"/>
          <w:szCs w:val="24"/>
        </w:rPr>
        <w:br/>
        <w:t xml:space="preserve">Az Alkotmánybíróság eljárási szabályai között találhatóak olyan rendelkezések, amelyek</w:t>
      </w:r>
      <w:r>
        <w:rPr>
          <w:color w:val="000000"/>
          <w:sz w:val="24"/>
          <w:szCs w:val="24"/>
        </w:rPr>
        <w:br/>
        <w:t xml:space="preserve">lehetővé tennék a testület számára azt, hogy tevékenységét a rendes bírósági eljárásokhoz</w:t>
      </w:r>
      <w:r>
        <w:rPr>
          <w:color w:val="000000"/>
          <w:sz w:val="24"/>
          <w:szCs w:val="24"/>
        </w:rPr>
        <w:br/>
        <w:t xml:space="preserve">hasonló kontradiktórius irányba mozdítsa el és a bíróság által megállapított tényállást</w:t>
      </w:r>
      <w:r>
        <w:rPr>
          <w:color w:val="000000"/>
          <w:sz w:val="24"/>
          <w:szCs w:val="24"/>
        </w:rPr>
        <w:br/>
        <w:t xml:space="preserve">felülmérlegelje. Az Alkotmánybíróság nyilvános, valamint személyes meghallgatást rendelhet</w:t>
      </w:r>
      <w:r>
        <w:rPr>
          <w:color w:val="000000"/>
          <w:sz w:val="24"/>
          <w:szCs w:val="24"/>
        </w:rPr>
        <w:br/>
        <w:t xml:space="preserve">el, szakértőt rendelhet ki, illetve eljárási bírságot is kiszabhat. E szabályok elemzését követően</w:t>
      </w:r>
      <w:r>
        <w:rPr>
          <w:color w:val="000000"/>
          <w:sz w:val="24"/>
          <w:szCs w:val="24"/>
        </w:rPr>
        <w:br/>
        <w:t xml:space="preserve">arra a megállapításra jutottam, hogy ezek rendszeres alkalmazása esetén a testület gyakorlatilag</w:t>
      </w:r>
      <w:r>
        <w:rPr>
          <w:color w:val="000000"/>
          <w:sz w:val="24"/>
          <w:szCs w:val="24"/>
        </w:rPr>
        <w:br/>
        <w:t xml:space="preserve">a bírósági szervezetrendszer legfelsőbb fokára kerülne, amelytől azonban elzárkózik és a</w:t>
      </w:r>
      <w:r>
        <w:rPr>
          <w:color w:val="000000"/>
          <w:sz w:val="24"/>
          <w:szCs w:val="24"/>
        </w:rPr>
        <w:br/>
        <w:t xml:space="preserve">gyakorlatban nem alkalmazza az említett rendelkezéseket.</w:t>
      </w:r>
      <w:r>
        <w:rPr>
          <w:color w:val="000000"/>
          <w:sz w:val="24"/>
          <w:szCs w:val="24"/>
        </w:rPr>
        <w:br/>
        <w:t xml:space="preserve">A de lege ferenda javaslatom szerint a szabályozás újragondolását vagy hatályon kívül</w:t>
      </w:r>
      <w:r>
        <w:rPr>
          <w:color w:val="000000"/>
          <w:sz w:val="24"/>
          <w:szCs w:val="24"/>
        </w:rPr>
        <w:br/>
        <w:t xml:space="preserve">helyezését tartom indokoltnak azért, hogy a hatályos jogi szabályozás megfeleljen a tényleges</w:t>
      </w:r>
      <w:r>
        <w:rPr>
          <w:color w:val="000000"/>
          <w:sz w:val="24"/>
          <w:szCs w:val="24"/>
        </w:rPr>
        <w:br/>
        <w:t xml:space="preserve">alkotmánybírósági gyakorlatnak.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256483">
    <w:multiLevelType w:val="hybridMultilevel"/>
    <w:lvl w:ilvl="0" w:tplc="783457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256483">
    <w:abstractNumId w:val="832564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27343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