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MURAKÖZY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murakozy.balazs@icloud.com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 kapuőrei - Miként szabja meg a sportszövetségek szabályozási autonómiájának határait az uniós versenyjog?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uniós versenyjog; lex sportiva; önszabályozás; autonóm jogrend; európai sportmodell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sport, mint játék évszázadok óta része az emberi történelemnek, azonban az utóbbi évtizedek változásai következtében megfigyelhető a sport kommercializálódása, amely következtében úgy versenyez egy sportesemény világszerte a nézők figyelméért, mint teszi azt például egy mozifilm. A sport globális termékké válásából következik, hogy az európai unió gazdasági jogának alkalmazása is egyre evidensebben jelent meg, elsősorban tekintettel a közelmúlt jelentős változásait hozó EUB ítéletekre.</w:t>
      </w:r>
      <w:r>
        <w:rPr>
          <w:color w:val="000000"/>
          <w:sz w:val="24"/>
          <w:szCs w:val="24"/>
        </w:rPr>
        <w:br/>
        <w:t xml:space="preserve">Ezek a szabályok egyre gyakoribb alkalmazásának vizsgálata során a sportszövetségek működésére felmerül a kérdés, hogy alkalmas-e az uniós jog a sportszövetségek szabályozói autonómiájának keretek közé szorítására. A sportszövetségek tradicionálisan a sportági önszabályozó szervek, és a működésük során kialakult lex sportiva olyan autonóm magán-jogrendnek tekinthető, amelyen belül a sportszövetségekhez köthető a szabályok alkotása, végrehajtása és az ezek fölött való bíráskodás is a svájci Sportdöntőbíróság működésén keresztül.</w:t>
      </w:r>
      <w:r>
        <w:rPr>
          <w:color w:val="000000"/>
          <w:sz w:val="24"/>
          <w:szCs w:val="24"/>
        </w:rPr>
        <w:br/>
        <w:t xml:space="preserve">Az EUB gyakorlatában három tekintetben szabja meg a sportszövetségek autonómiájának határait. Egyrészről, az egyes szabályzatok bizonyos sportolói körre gyakorolt hatása során olyan elemzési keretet dolgozott ki, amely képes a sportban rejlő sajátosságok érzékeny figyelembevételére, amely során a versenyszabályok és a piaci alapszabadságok szabályainak alkalmazása között erőteljes konvergencia figyelhető meg. Másodsorban, felismerve a sportszövetségekben rejlő érdekellentétet a sportáguk szabályozása és annak gazdasági hasznosítása között, a versenyjog egy ,,szigorúbb szintjét” alkalmazva terjeszt ki rájuk olyan standardokat, amelyek értelmében a sportszövetségek – saját kereskedelmi érdeküket védve – nem szabhatják meg önkényesen a piacralépés feltételeit. Harmadrészt, a Sportdöntőbíróság határozatai fölötti kontrollt erősíti amennyiben azok uniós elsődleges jogot alkalmaznak, illeszkedve az EUB gyakorlatában tapasztalható trendre, amelyben biztosítja az uniós jog végső értelmezése fölötti monopóliumát.</w:t>
      </w:r>
      <w:r>
        <w:rPr>
          <w:color w:val="000000"/>
          <w:sz w:val="24"/>
          <w:szCs w:val="24"/>
        </w:rPr>
        <w:br/>
        <w:t xml:space="preserve">Kijelenthető, hogy az az uniós versenyjog alkalmazása olyan eszköz, amely képes megszabni a sportszövetségek szabályozási autonómiáját. Felismerve a szövetségek kvázi-állami funkcióját, a versenyszabályok alkalmazása során az EUB képes a sport szabályozásához fűződő közérdeket beemelni elemzésébe, amellyel a kvázi-állami szereplők fölött a versenyjog kvázi-alkotmányjogi ellenőrzőszerepet tud betölteni a demokratikus és jogi kontroll biztosítása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05063">
    <w:multiLevelType w:val="hybridMultilevel"/>
    <w:lvl w:ilvl="0" w:tplc="21091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05063">
    <w:abstractNumId w:val="883050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04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