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LILI LAURA</w:t>
            </w:r>
          </w:p>
          <w:p w:rsidR="00C275A3" w:rsidRDefault="00CA6B74" w:rsidP="00C275A3">
            <w:pPr>
              <w:pStyle w:val="Hallgatokepzes"/>
            </w:pPr>
            <w:r w:rsidRPr="001067CD">
              <w:rPr>
                <w:i/>
              </w:rPr>
              <w:t>lililaura0531@gmail.com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Ádány Tamás</w:t>
            </w:r>
          </w:p>
          <w:p w:rsidR="00DB4822" w:rsidRDefault="00DB4822" w:rsidP="00BA6BAF">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emberiesség elleni bűncselekmények és a fegyveres konfliktus kapcsolatának kérdése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emberiesség elleni bűncselekmények; fegyveres konfliktus; nemzetközi büntetőjog</w:t>
      </w:r>
      <w:r>
        <w:t xml:space="preserve"/>
      </w:r>
    </w:p>
    <w:p>
      <w:pPr>
        <w:widowControl w:val="on"/>
        <w:pBdr/>
        <w:spacing w:before="240" w:after="240" w:line="240" w:lineRule="auto"/>
        <w:ind w:left="0" w:right="0"/>
        <w:jc w:val="left"/>
      </w:pPr>
      <w:r>
        <w:rPr>
          <w:color w:val="000000"/>
          <w:sz w:val="24"/>
          <w:szCs w:val="24"/>
        </w:rPr>
        <w:t xml:space="preserve">A dolgozat annak vizsgálatát tűzte ki célul, hogy az emberiesség elleni bűncselekmények nemzetközi szokásjog szerinti meghatározása részeként értelmezhető-e a fegyveres konfliktus fennállása, illetve az ahhoz való kapcsolódás követelménye. A dolgozat tárgyának relevanciája a Nemzetközi Jogi Bizottság 2019-es emberiesség elleni bűncselekmények megelőzéséről és büntetéséről szóló egyezménytervezetének (’Egyezménytervezet’) azon – bizonyos államok által vitatott – rendelkezésével kapcsolatban merül fel, amely deklarálja, hogy az emberiesség elleni bűncselekmények tilalmának hatálya kiterjed a nem fegyveres konfliktus idején elkövetett atrocitásokra is. Továbbá, a kérdés jelentőséggel bírhat a 20. század során, fegyveres konfliktusok kontextusán kívül elkövetett emberiesség elleni bűncselekményeket érintő felelősségre vonást célzó eljárások tekintetében is. A dolgozat a nemzetközi szokásjog azonosítása tekintetében alapvetően a Nemzetközi Jogi Bizottság 2018-as Következtetések a nemzetközi szokásjog azonosításáról című dokumentumára támaszkodik, ugyanakkor kizárólag nemzetközi jogi dokumentumokat vizsgál, nem célja a nemzeti jogalkotás, valamint jogalkalmazás elemzése. A fegyveres konfliktus fennállásának, illetve az ahhoz való kapcsolódás (háborús nexus) követelményét egymástól elválasztva érdemes kezelni. Előbbi esetében egyértelmű, hogy egyik releváns nemzetközi dokumentum sem tekintette az emberiesség elleni bűncselekmények nemzetközi szokásjog szerinti meghatározása részének, valójában a bűncselekmény kategória tilalma hatályának békeidőre való kiterjesztése jellemző. A háborús nexus tekintetében a helyzet árnyaltabb, ugyanakkor figyelemmel arra, hogy a második világháborút követő felelősségre vonás kontextusán kívül nem találkozni vele, ezért leginkább egy ad hoc joghatósági követelményként értékelhető, és valószínűleg nem volt a bűncselekmény kategória tényállási eleme. Az Egyezménytervezet érintett rendelkezését célszerűbb lenne átfogalmazni annak érdekében, hogy a hatályos nemzetközi szokásjoggal összhangban egyértelműen egyaránt elutasítsa a háborús nexus, továbbá a fegyveres konfliktus fennállásának kritériumát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09363">
    <w:multiLevelType w:val="hybridMultilevel"/>
    <w:lvl w:ilvl="0" w:tplc="88118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09363">
    <w:abstractNumId w:val="14209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873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