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KAPOSVÁRI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kaposvaribarbi@gmail.com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Ujhelyi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Gilead balzsamai, avagy a közegészségügyi kényszerengedély kettőssége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közegészségügyi kényszerengedély; járvány; COVID-19; TRIPS megállapodás; szabadalmi oltalom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2020. év elején megjelenő COVID-19 korábban nem tapasztalt kihívások elé állította az egész világot. Számos területen megkövetelte a közegészség védelmének érdekében történő rendkívüli intézkedéseket, így hazánkban a kényszerengedélyek szabályozása is kiegészítésre került.</w:t>
      </w:r>
      <w:r>
        <w:rPr>
          <w:color w:val="000000"/>
          <w:sz w:val="24"/>
          <w:szCs w:val="24"/>
        </w:rPr>
        <w:br/>
        <w:t xml:space="preserve">A kutatás középpontjában az áll, hogy képes-e a közegészségügyi kényszerengedély kellő hatékonysággal egyensúlyt teremteni a tulajdonhoz és az egészséghez való jog között, miközben megfelelő garanciákat nyújt a szabadalmas számára az esetleges visszaélések elleni védelem érdekében. Az fenti alapjogi ütközés egy hazai kötődésű, első ilyen jellegű eseten, a Gilead-ügyön keresztül került elemzésre.</w:t>
      </w:r>
      <w:r>
        <w:rPr>
          <w:color w:val="000000"/>
          <w:sz w:val="24"/>
          <w:szCs w:val="24"/>
        </w:rPr>
        <w:br/>
        <w:t xml:space="preserve">Miután a 816/2006/EK rendelet hatálya alá tartozó kényszerengedély a TRIPS megállapodás 31bis, míg a hazai, hiánypótló közegészségügyi kényszerengedély szabályozása a TRIPS megállapodás 31. cikkének jogalapján és azoknak megfeleltetve került megalkotásra, elkerülhetetlen volt a nemzetközi és uniós jogi környezet vizsgálata. A fogalmak pontos definiálásának elmulasztása magában rejti az esetleges visszaélések kockázatát, azonban a szükségletek különbözősége miatt nemzetközi szinten lehetetlen volna egy hatékonyan működő, minden igényt kielégítő egységes fogalomrendszert kialakítani. Ennek ellenére egy, a hazai tapasztalatokon és bírósági megállapításokon nyugvó módszertan, útmutató megalkotása igen célravezető lenne a bizonytalanságok elkerülése érdekében.</w:t>
      </w:r>
      <w:r>
        <w:rPr>
          <w:color w:val="000000"/>
          <w:sz w:val="24"/>
          <w:szCs w:val="24"/>
        </w:rPr>
        <w:br/>
        <w:t xml:space="preserve">Az Európai Bizottság 2023-ban tett javaslatot a válságkezelési célú kényszerengedélyezés kezdeményezésére, melynek célja, hogy az EU egységes kényszerengedélyezési keretre támaszkodhasson a válságkezelés során, azonban a bizottsági javaslat szövege igen sok kérdést vetett fel a szabályozás gyakorlati alkalmazhatóságát illetően.</w:t>
      </w:r>
      <w:r>
        <w:rPr>
          <w:color w:val="000000"/>
          <w:sz w:val="24"/>
          <w:szCs w:val="24"/>
        </w:rPr>
        <w:br/>
        <w:t xml:space="preserve">A Gilead Sciences szabadalmai kapcsán hazánkban megadott kényszerengedélyek és ezek mentén felmerült jogvita is arra mutatott rá, hogy a probléma nem az anyagi jogi rendelkezésekben rejlik, hanem az eljárás részletkérdéseiben. Az esetleges jövőbeni eljárások zökkenőmentes lefolytatása érdekében hasznos volna egy nemzeti szintű útmutató kidolgozása, mely a résztvevő hatóságok és vállalkozások számára iránymutatóként szolgálhatna az eljárás során felmerülő kérdésekben.</w:t>
      </w:r>
      <w:r>
        <w:rPr>
          <w:color w:val="000000"/>
          <w:sz w:val="24"/>
          <w:szCs w:val="24"/>
        </w:rPr>
        <w:br/>
        <w:t xml:space="preserve">Hasonló válsághelyzetekben ugyanakkor továbbra is az önkéntes engedélyezések ösztönzésének és a gyártási kapacitások fejlesztésének kellene elsőbbséget élveznie, hogy a közegészségügyi kényszerengedély alkalmazására csak ultima ratio jelleggel kerüljön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71854">
    <w:multiLevelType w:val="hybridMultilevel"/>
    <w:lvl w:ilvl="0" w:tplc="37244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71854">
    <w:abstractNumId w:val="93071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725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