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KERÉNYI NOÉMI MÁRTA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kerenyi.noemi@gmail.com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Papp János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Kampány a hírfolyamban - A politikai reklámok szabályozása az online térben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kampány; politikai reklám; politikai hirdetés; online platform; targetálás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online tér napjainkban a politikai kommunikáció egyik legfontosabb színterévé vált. Egyrészről manapság folyamatosan növekszik az online hírfogyasztás jelentősége, miközben az online platformok által biztosított lehetőségek, különösen a targetálás, rendkívül előnyös eszközként szolgálnak a politikai szereplők számára. Ennek ellenére az online platformokon megjelenő politikai reklámok szabályozása még gyerekcipőben jár.</w:t>
      </w:r>
      <w:r>
        <w:rPr>
          <w:color w:val="000000"/>
          <w:sz w:val="24"/>
          <w:szCs w:val="24"/>
        </w:rPr>
        <w:br/>
        <w:t xml:space="preserve">Az új uniós rendeletek célja, hogy ezen digitális korszak sajátosságaihoz igazítsa az átláthatóság, esélyegyenlőség demokratikus elveit. Ennek érdekében elkezdődött a specifikus platformkampány szabályozásának kidolgozása az EU-ban. Azonban az online platformokon megjelenő politikai hirdetések több kockázatot is hordoznak és nagyobb mértékű manipulációt tesznek lehetővé, melyekre az új szabályok csak részben nyújtanak megoldást.</w:t>
      </w:r>
      <w:r>
        <w:rPr>
          <w:color w:val="000000"/>
          <w:sz w:val="24"/>
          <w:szCs w:val="24"/>
        </w:rPr>
        <w:br/>
        <w:t xml:space="preserve">TDK dolgozatomban a magyar és uniós szabályozást és azok hiányosságait mutatom be. Véleményem szerint célszerű lenne olyan szabályozási megoldás kidolgozása, amely nemcsak a rendeletek végrehajtásának gyakorlati nehézségeire nyújt választ, hanem az online és offline politikai hirdetések szabályozása között is összhangot teremt. Ez elősegítené, hogy az uniós szabályok valóban támogassák a demokratikus folyamatokat, fenntartva a politikai kommunikáció szabadságát és biztosítva a választópolgárok szabad tájékozódását az online térben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220138">
    <w:multiLevelType w:val="hybridMultilevel"/>
    <w:lvl w:ilvl="0" w:tplc="913798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220138">
    <w:abstractNumId w:val="202201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50846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