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RÉKA DANIELLA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daniellapinter09@gmail.com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Pogácsás 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Meddig ér a takaró? A közéleti szereplők doktrínája és személyiségvédelmének határai a közügy fogalom interpretációjának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közszereplő; közügy; jogbiztonság; véleménynyilvánítás szabadsága; emberi méltóság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demokratikusan működő jogállam alapismérve a véleménynyilvánítás szabadsága, amely ugyanakkor gyakran ütközik más alapvető jogokkal, leginkább az emberi méltósághoz való joggal és az abból fakadó személyiségi jogokkal. A kutatás kiemelten a közéleti szereplők személyiségi jogainak, emberi méltóságának és a véleménynyilvánítás szabadságának kollíziójából fakadó kérdésekkel foglalkozik. A dolgozat részleteiben feltárja és elemzi a közéleti szereplők személyiségi jogi védelmével összefüggő jogszabályi és judikatúrabeli anomáliákat, ellentéteket és kritikákat.</w:t>
      </w:r>
      <w:r>
        <w:rPr>
          <w:color w:val="000000"/>
          <w:sz w:val="24"/>
          <w:szCs w:val="24"/>
        </w:rPr>
        <w:br/>
        <w:t xml:space="preserve">A jogszabályi háttér kritikus vizsgálata során kiütköznek azok a problémák, amelyeknek korrigálása szükségszerű. A jogalkalmazás elemzése során egyértelművé vált a gyakorlat inkoherenciája a tekintetben, hogy mégis ki számít közéleti szereplőnek, arról milyen szempontok alapján lehet döntést hozni, hol húzódik személyiségvédelmük kapcsán az a határ, amelyet a véleménynyilvánítás szabadságának gyakorlása során is tiszteletben kell tartani.</w:t>
      </w:r>
      <w:r>
        <w:rPr>
          <w:color w:val="000000"/>
          <w:sz w:val="24"/>
          <w:szCs w:val="24"/>
        </w:rPr>
        <w:br/>
        <w:t xml:space="preserve">A dolgozat állást foglal – az EJEB gyakorlatával összhangban – abban a kérdésben, hogy a közszereplő személyi jogainak, emberi méltóságának és a véleménynyilvánítás szabadságának kollíziója esetén a megnyilvánulás közügyet érintő jellege a döntő szempont az érintett személyiségi jogainak korlátozása során és nem a személyi státusz.</w:t>
      </w:r>
      <w:r>
        <w:rPr>
          <w:color w:val="000000"/>
          <w:sz w:val="24"/>
          <w:szCs w:val="24"/>
        </w:rPr>
        <w:br/>
        <w:t xml:space="preserve">Szisztematikusan feltárul előttünk a dolgozat olvasása során, hogy többek között már az olyan alapvető kérdésekben sincs meg az összhang, mint az emberi méltóság sérthetetlen magjának értelmezése, a közügy fogalom interpretációja és szerepe a vizsgált kollíziók elbírálása során. Az inkoherencia nem csupán az alsóbb szintű bíróságok jogalkalmazásában mutatkozik meg, hanem maga az Alkotmánybíróság gyakorlata is tele van ellentmondásokkal.</w:t>
      </w:r>
      <w:r>
        <w:rPr>
          <w:color w:val="000000"/>
          <w:sz w:val="24"/>
          <w:szCs w:val="24"/>
        </w:rPr>
        <w:br/>
        <w:t xml:space="preserve">A dolgozat eredményeiben feltérképezi tehát azokat a jogszabályi és jogalkalmazásbeli defektusokat, amelyeket elengedhetetlen feloldani a judikatúra kiszámíthatóságának és koherenciájának megteremtése végett. A dolgozat mondanivalójának relevanciája abban nyilvánul meg, hogy egy kiszámítható és koherens szabályozás, illetve gyakorlat megteremtése szükséges ahhoz, hogy demokratikus értékek mentén tudjuk garantálni egy közéleti vita során a véleménynyilvánítás és az egyének szabadságát, oly módon, hogy az érintett ’közszereplők’ méltósága ne sérüljön aránytalanul.</w:t>
      </w:r>
      <w:r>
        <w:rPr>
          <w:color w:val="000000"/>
          <w:sz w:val="24"/>
          <w:szCs w:val="24"/>
        </w:rPr>
        <w:br/>
        <w:t xml:space="preserve">A dolgozat a közszereplőkről alkotott jogi szabályozások és felfogások újra-, átgondolását javasolja, ahhoz kíván támpontot nyújtani.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09337">
    <w:multiLevelType w:val="hybridMultilevel"/>
    <w:lvl w:ilvl="0" w:tplc="86412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09337">
    <w:abstractNumId w:val="865093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913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