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FAFKA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fafkaborbala@gmail.com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jogellenesen eltulajdonított kulturális javak védelme a nemzetközi magánjogban. (Mű)kincset érő összhang a szabályozási mechanizmusban?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javak, kapcsolóelv, Kódex, nemzetközi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arra hivatott, hogy kritikai elemzés módszerével rávilágítson a kulturális javak védelmét szolgáló jogi szabályozás fejlesztésének szükségességére és szorgalmazza a lehetséges megoldásokat. A lex fori önmagában meghaladott, nem reflektál megfelelően a kulturális javakat érintő tendenciákra. Továbbá felhívja a figyelmet a kulturális javakra vonatkozó fogalmi meghatározások kihívásaira.</w:t>
      </w:r>
      <w:r>
        <w:rPr>
          <w:color w:val="000000"/>
          <w:sz w:val="24"/>
          <w:szCs w:val="24"/>
        </w:rPr>
        <w:br/>
        <w:t xml:space="preserve">A dolgozat megállapítja, hogy a különböző államok kollíziós joga alapján ’töredezett’ szabályozási rendszer keretén belül részesülnek védelemben a kulturális javak és az eltérő kapcsolások különféleképpen viszonyulnak az eredeti tulajdonos és a jóhiszemű vevő közötti vitás helyzethez. A kutatás a kapcsolóelvekre vonatkozó kérdéseket a lex situs és a lex originis elemzését magába foglaló vizsgálat során fejti ki.</w:t>
      </w:r>
      <w:r>
        <w:rPr>
          <w:color w:val="000000"/>
          <w:sz w:val="24"/>
          <w:szCs w:val="24"/>
        </w:rPr>
        <w:br/>
        <w:t xml:space="preserve">A kapcsolóelveket tekintve, Leo Raape szavai alapján minden egyes kapcsolás ugrás a sötétbe, amellyel arra utal, hogy a fórum főszabályként elfogadja a kollíziós kapcsolást, függetlenül annak anyagi jogi kimenetelétől. Mielőtt a kapcsolás megtörténik, érdemes lenne figyelembe venni a lex culturalist, ami a nemzetközi magánjogi jogintézményen keresztül a közrend részeként és mint imperatív szabály nyújtana védelmet. A különböző államok kapcsoló normái, mint külön-külön ’szólamok’ már léteznek, de a nemzetközi összhangot a lex culturalis hozhatja el.</w:t>
      </w:r>
      <w:r>
        <w:rPr>
          <w:color w:val="000000"/>
          <w:sz w:val="24"/>
          <w:szCs w:val="24"/>
        </w:rPr>
        <w:br/>
        <w:t xml:space="preserve">Nagy érdem a magyar jogalkotás történetében, hogy megszületett az új Kódex, amely sokkal hatékonyabbnak bizonyul, mint a lex fori. A magyar Kódex egy kompromisszumos eredmény, amely a Belga Kódex újstílusú szabályozását követi az állam által kulturális javai közé tartozónak tekintett dolog és az eredeti tulajdonos birtokából jogellenesen kikerült dolog tekintetében. Az Nmjtv szabályai egyes esetekben ellentmondásosak. A struktúra ahhoz a kritikus helyzethez vezethet, hogy a jóhiszemű vevő joga felülírja az eredeti tulajdonos jogát. Az Nmjtv. a hibás kapcsolás kiküszöbölése érdekében egyéb korrekciós megoldással reagál: figyelembe veszi más állam imperatív szabályait és lehetővé teszi a közrendi záradék jogintézményének érvényesülését.</w:t>
      </w:r>
      <w:r>
        <w:rPr>
          <w:color w:val="000000"/>
          <w:sz w:val="24"/>
          <w:szCs w:val="24"/>
        </w:rPr>
        <w:br/>
        <w:t xml:space="preserve">A fenti kérdések felvetése alapján kétségtelen, hogy az Nmjtv. hiányosságokat rejt magában, de modernitása nem kérdőjelezhető meg. A speciális és újszerű kollíziós szabályainak köszönhetően eredményesnek bizonyul az illegális kereskedelem elleni harcban. Az új Kódex méltó képviselője a legújabb nemzetközi irányzatnak.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22179">
    <w:multiLevelType w:val="hybridMultilevel"/>
    <w:lvl w:ilvl="0" w:tplc="20910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22179">
    <w:abstractNumId w:val="42922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544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