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VANGEL ERIK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vangelerik@gmail.com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Landi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Visszfényen innen és túl – az életvégi emberkép egyes jogi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magánjog; kegyeleti jog; dolog; jóerkölcs; Antigoné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magánjognak és a közjognak is szabályozási körébe eső életvégi emberkép egyes jogi és ezzel együtt erkölcsi aspektusait járja körül. A magánjog végigkíséri életünket születésünk pillanatától – sőt azt megelőzően is – egészen a halálunkig – és azon túl is.</w:t>
      </w:r>
      <w:r>
        <w:rPr>
          <w:color w:val="000000"/>
          <w:sz w:val="24"/>
          <w:szCs w:val="24"/>
        </w:rPr>
        <w:br/>
        <w:t xml:space="preserve">A dolgozatban a világ változó szokásaival együtt bemutatásra kerül a megelőző évezredek e jogi területen egyeduralkodó római jogi és kánonjogi megközelítése. A dolgozat példaként szemlélteti Szophoklész ókori drámáját, az Antigonét, az értékek harcára fókuszálva.</w:t>
      </w:r>
      <w:r>
        <w:rPr>
          <w:color w:val="000000"/>
          <w:sz w:val="24"/>
          <w:szCs w:val="24"/>
        </w:rPr>
        <w:br/>
        <w:t xml:space="preserve">A kegyeleti jog hatályos jogi szabályozásának bemutatását követően a dolgozat bírósági határozatok bemutatásával teszi dinamikussá a statikus részt. Ezt követően rámutat, hogy mennyiben szétválasztott az eszmei és fizikai valóság a Polgári Törvénykönyvben belül és a temetkezést szabályozó jogszabályban.</w:t>
      </w:r>
      <w:r>
        <w:rPr>
          <w:color w:val="000000"/>
          <w:sz w:val="24"/>
          <w:szCs w:val="24"/>
        </w:rPr>
        <w:br/>
        <w:t xml:space="preserve">A dolgozat egyik főkérdéseként az kerül megfogalmazásra, hogy a kegyeleti jogosultak köthetnek-e jóerkölcsbe ütköző szerződést és ez alapján lehet-e quasi dologi jogi igényük elhunyt gyermekük hamvainak egy részére, egyértelműen a „visszfény” elhomályosulása előtt. Az érvelés szerint a közjogi szabályozás változatlansága esetén elsősorban a jogalkalmazásnak és a jogtudománynak kell megfelelően megítélnie az ilyen eseteket, a hivatkozott egyéb szempontok figyelembevételével, akár a dologösszesség analógiáját követve.</w:t>
      </w:r>
      <w:r>
        <w:rPr>
          <w:color w:val="000000"/>
          <w:sz w:val="24"/>
          <w:szCs w:val="24"/>
        </w:rPr>
        <w:br/>
        <w:t xml:space="preserve">Bemutatásra kerül továbbá a holttest (magán)jogi sorsa, illetve annak jogtörténeti előzményei. Konklúzióként leszögezhető, hogy a holttest dolognak minősíthető ugyan, azonban olyan dolog ez, amely „semmilyen más dologhoz nem hasonlít”, római jogi fogalmaink szerint ’res extra commercium’. Valódi dologgá a holttest a „visszfény” elhomályosulását követően válik, amikortól vagyonjogi jogviszonyok tárgya lehet. Kiegészítésként megjelennek az ereklyék, illetve hatásuk az egyházi liturgiában, valamint a vélelmezett beleegyezés a szervátültetés kérdéskörével kiegészítve.</w:t>
      </w:r>
      <w:r>
        <w:rPr>
          <w:color w:val="000000"/>
          <w:sz w:val="24"/>
          <w:szCs w:val="24"/>
        </w:rPr>
        <w:br/>
        <w:t xml:space="preserve">A temetkezés közjogi szabályozásának bemutatása során a temetkezési helyek jogszabályi megjelenésén túl bemutatásra kerül a hamvasztás, illetve elterjedése, illetve a már hivatkozott „dologiasítás” jogi problémája a temetőn kívül elhelyezett hamvakon keresztül, illetve az ékszerré és egyéb dísztárggyá alakított földi maradványokkal kapcsolatosan.</w:t>
      </w:r>
      <w:r>
        <w:rPr>
          <w:color w:val="000000"/>
          <w:sz w:val="24"/>
          <w:szCs w:val="24"/>
        </w:rPr>
        <w:br/>
        <w:t xml:space="preserve">Utolsó kérdéskörként a kötelmi jogi probléma kerül hivatkozásra, mely alapján megállapítható, hogy a temetkezési szolgáltatási szerződés vállalkozási szerződés, megbízási jegyekkel.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98404">
    <w:multiLevelType w:val="hybridMultilevel"/>
    <w:lvl w:ilvl="0" w:tplc="92024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98404">
    <w:abstractNumId w:val="68698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980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