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RATKAI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daniratkai23@gmail.com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Pogácsás Anett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mesterséges intelligencia alkalmazása a bírói döntéshozatalban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intelligencia, bírói döntéshozatal, polgári eljárásjogi garanciák, hatékonyság, átláthatóság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dolgozatban a mesterséges intelligencia bírói döntéshozatalban való alkalmazásának eddigi gyakorlatát, kockázatait, korlátait és jövőbeli lehetőségeit elemeztem eddig nem vizsgált szempontok szerint.</w:t>
      </w:r>
      <w:r>
        <w:rPr>
          <w:color w:val="000000"/>
          <w:sz w:val="24"/>
          <w:szCs w:val="24"/>
        </w:rPr>
        <w:br/>
        <w:t xml:space="preserve">Elismerve az e terület iránt az utóbbi években különösen növekvő akadémiai érdeklődést és az ebből gyümölcsöző számos értékes kutatási eredményt, ez az elemzés azáltal nyújt értéket, hogy szintetizálja és integrálja a kutatási területeket átfogó szakirodalmat, beleértve a jogi, etikai és társadalomtudományi perspektívákat, figyelembe véve az adatvédelmi jog, a jog és technológia, az információs etika és a jogfilozófia eredményeit. A multidiszciplináris módszertan és a holisztikus megközelítés lehetőséget ad a tágabb kontextus vizsgálatára és időtálló eredmények megfogalmazására, melyeket a gyakorlatban is könnyen beépíthet a jogalkotó. A jogi lehatárolás terén pedig a magyar igazságszolgáltatás rendszerén belül felmerült elsősorban eljárásjogi kérdéseket a polgári eljárásjog tükrében vizsgálom.</w:t>
      </w:r>
      <w:r>
        <w:rPr>
          <w:color w:val="000000"/>
          <w:sz w:val="24"/>
          <w:szCs w:val="24"/>
        </w:rPr>
        <w:br/>
        <w:t xml:space="preserve">De lege ferenda javaslatként kiemeltem, hogy a magyar bírósági fejlesztés első nélkülözhetetlen foka az automatizáció lenne. Itt elsősorban olyan egyszerű feladatokra kell gondolni, mint a dokumentumok hivatkozásainak felismerése, a metaadatok és tárgykörök javaslata az ügyek naplózása során, valamint a meghallgatások átiratainak készítése.</w:t>
      </w:r>
      <w:r>
        <w:rPr>
          <w:color w:val="000000"/>
          <w:sz w:val="24"/>
          <w:szCs w:val="24"/>
        </w:rPr>
        <w:br/>
        <w:t xml:space="preserve">A gépi elfogultságok és torzítások, valamint ún. jailbreak-visszaélések elkerülése érdekében az adatbázissal kapcsolatos intézkedések mellett biztosítani kell az MI-t létrehozó, tesztelő vagy alkalmazó személyzet megfelelő szintű tudatosságát és képzését. Hasznos lehet ebben az esetben az ún. RAG-módszer, amellyel dinamikusan adhatunk új adatokat az MI-nek kontextusként egy bemenethez vagy kérdéshez.</w:t>
      </w:r>
      <w:r>
        <w:rPr>
          <w:color w:val="000000"/>
          <w:sz w:val="24"/>
          <w:szCs w:val="24"/>
        </w:rPr>
        <w:br/>
        <w:t xml:space="preserve">Álláspontom szerint itt legfontosabb feladat a bírák, bírósági alkalmazottak és ügyfelek segítése az ügy minél hatékonyabb átlátásában. Ez megvalósulhat például a tárgyakra vagy kulcsszavakra vonatkozó automatikus javaslatok felajánlásával, a szövegben található hivatkozás felismerésével, vagy a meglévő joggyakorlat fontosabb eseteinek ajánlásával.</w:t>
      </w:r>
      <w:r>
        <w:rPr>
          <w:color w:val="000000"/>
          <w:sz w:val="24"/>
          <w:szCs w:val="24"/>
        </w:rPr>
        <w:br/>
        <w:t xml:space="preserve">Ezen a szinten még sürgetőbb kérdés lenne beszédfelismerő és azonnali beszédleíró MI alkalmazása, mivel a mai napig diktafonra diktálnak a bírák, amit később a jegyzőnek kell lejegyeznie. Ez mind a tárgyalás menetét meggyorsítaná, mind a nagymértékben leterhelt jegyzőket részben tehermentesítené.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625469">
    <w:multiLevelType w:val="hybridMultilevel"/>
    <w:lvl w:ilvl="0" w:tplc="44716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625469">
    <w:abstractNumId w:val="546254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60797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