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TAMA KRISTÓF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tamakristof11@gmail.com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Pogácsás Anett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megbízott oktató,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„Majd fizetek, ha nekem fizettek!” – a jóerkölcsbe ütközés aktualitásai az árbevétel-függő kikötés fényében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jóerkölcs; árbevétel-függőségi kikötés; semmisség; Oberster Gerichtshof; esetcsoport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„Majd fizetek, ha nekem fizettek!” – gyakran elhangozhatott ez a mondat a fővállalkozó</w:t>
      </w:r>
      <w:r>
        <w:rPr>
          <w:color w:val="000000"/>
          <w:sz w:val="24"/>
          <w:szCs w:val="24"/>
        </w:rPr>
        <w:br/>
        <w:t xml:space="preserve">részéről, aki alvállalkozója díjának megfizetését saját megrendelője teljesítésétől tette függővé.</w:t>
      </w:r>
      <w:r>
        <w:rPr>
          <w:color w:val="000000"/>
          <w:sz w:val="24"/>
          <w:szCs w:val="24"/>
        </w:rPr>
        <w:br/>
        <w:t xml:space="preserve">A legújabb magyar jogalkalmazói gyakorlat azonban semmisnek tekinti az ilyen típusú</w:t>
      </w:r>
      <w:r>
        <w:rPr>
          <w:color w:val="000000"/>
          <w:sz w:val="24"/>
          <w:szCs w:val="24"/>
        </w:rPr>
        <w:br/>
        <w:t xml:space="preserve">kikötéseket jóerkölcsbe ütközés folytán. A dolgozat rámutat arra, hogy a kúriai döntésekből</w:t>
      </w:r>
      <w:r>
        <w:rPr>
          <w:color w:val="000000"/>
          <w:sz w:val="24"/>
          <w:szCs w:val="24"/>
        </w:rPr>
        <w:br/>
        <w:t xml:space="preserve">levezethető elvek kiterjesztése szükséges egy másik, szintén az építőiparban alkalmazott</w:t>
      </w:r>
      <w:r>
        <w:rPr>
          <w:color w:val="000000"/>
          <w:sz w:val="24"/>
          <w:szCs w:val="24"/>
        </w:rPr>
        <w:br/>
        <w:t xml:space="preserve">kikötésre, mely a jótállás kezdetét a megrendelőnek történő átadás-átvétel időpontjában</w:t>
      </w:r>
      <w:r>
        <w:rPr>
          <w:color w:val="000000"/>
          <w:sz w:val="24"/>
          <w:szCs w:val="24"/>
        </w:rPr>
        <w:br/>
        <w:t xml:space="preserve">határozza meg. Az árbevétel-függőségi kikötésekben rejlő méltánytalanság, bizonytalanság</w:t>
      </w:r>
      <w:r>
        <w:rPr>
          <w:color w:val="000000"/>
          <w:sz w:val="24"/>
          <w:szCs w:val="24"/>
        </w:rPr>
        <w:br/>
        <w:t xml:space="preserve">ugyanis utóbbi szerződéses rendelkezésekben is legalább ugyanannyira jelen van. Meglátásom</w:t>
      </w:r>
      <w:r>
        <w:rPr>
          <w:color w:val="000000"/>
          <w:sz w:val="24"/>
          <w:szCs w:val="24"/>
        </w:rPr>
        <w:br/>
        <w:t xml:space="preserve">szerint ezek a kikötések jelenthetik a jóerkölcsbe ütköző szerződések legújabb csoportját. A</w:t>
      </w:r>
      <w:r>
        <w:rPr>
          <w:color w:val="000000"/>
          <w:sz w:val="24"/>
          <w:szCs w:val="24"/>
        </w:rPr>
        <w:br/>
        <w:t xml:space="preserve">dolgozat bemutatja, hogy milyen eltérő jellegzetességei vannak a legújabb esetcsoportnak a</w:t>
      </w:r>
      <w:r>
        <w:rPr>
          <w:color w:val="000000"/>
          <w:sz w:val="24"/>
          <w:szCs w:val="24"/>
        </w:rPr>
        <w:br/>
        <w:t xml:space="preserve">többi, a témával foglalkozó szerzők által már részletesen elemzett esetcsoportokhoz képest</w:t>
      </w:r>
      <w:r>
        <w:rPr>
          <w:color w:val="000000"/>
          <w:sz w:val="24"/>
          <w:szCs w:val="24"/>
        </w:rPr>
        <w:br/>
        <w:t xml:space="preserve">(például házassági vagyonjogi szerződések). Überwälzungsklausel – így nevezi az osztrák</w:t>
      </w:r>
      <w:r>
        <w:rPr>
          <w:color w:val="000000"/>
          <w:sz w:val="24"/>
          <w:szCs w:val="24"/>
        </w:rPr>
        <w:br/>
        <w:t xml:space="preserve">jogalkalmazó az ismertetett kikötést, melyet – a magyartól eltérően – nem tekint semmisnek. A</w:t>
      </w:r>
      <w:r>
        <w:rPr>
          <w:color w:val="000000"/>
          <w:sz w:val="24"/>
          <w:szCs w:val="24"/>
        </w:rPr>
        <w:br/>
        <w:t xml:space="preserve">dolgozat az Oberster Gerichtshof gyakorlatát bemutatva (elemzésre kerül a német</w:t>
      </w:r>
      <w:r>
        <w:rPr>
          <w:color w:val="000000"/>
          <w:sz w:val="24"/>
          <w:szCs w:val="24"/>
        </w:rPr>
        <w:br/>
        <w:t xml:space="preserve">jogalkalmazói gyakorlat is) rámutat arra, hogy a magyar gyakorlat az alvállalkozót kedvezőbb</w:t>
      </w:r>
      <w:r>
        <w:rPr>
          <w:color w:val="000000"/>
          <w:sz w:val="24"/>
          <w:szCs w:val="24"/>
        </w:rPr>
        <w:br/>
        <w:t xml:space="preserve">bizonyítási helyzetbe hozza, valamint késedelmi kamatok szempontjából is előnyösebb.</w:t>
      </w:r>
      <w:r>
        <w:rPr>
          <w:color w:val="000000"/>
          <w:sz w:val="24"/>
          <w:szCs w:val="24"/>
        </w:rPr>
        <w:br/>
        <w:t xml:space="preserve">A jogalkalmazói gyakorlat elemzését megelőzően a téma kapcsán felmerülő elméleti</w:t>
      </w:r>
      <w:r>
        <w:rPr>
          <w:color w:val="000000"/>
          <w:sz w:val="24"/>
          <w:szCs w:val="24"/>
        </w:rPr>
        <w:br/>
        <w:t xml:space="preserve">kérdések ismertetésére kerül sor, Jörn Eckert elméletét alapul véve elemzésre kerül a 6:88. §</w:t>
      </w:r>
      <w:r>
        <w:rPr>
          <w:color w:val="000000"/>
          <w:sz w:val="24"/>
          <w:szCs w:val="24"/>
        </w:rPr>
        <w:br/>
        <w:t xml:space="preserve">(szűk körben) való áttörhetősége. A semmisség megítélésének ideje mellett a jogalkalmazói</w:t>
      </w:r>
      <w:r>
        <w:rPr>
          <w:color w:val="000000"/>
          <w:sz w:val="24"/>
          <w:szCs w:val="24"/>
        </w:rPr>
        <w:br/>
        <w:t xml:space="preserve">gyakorlatban felmerülő nehézségek is bemutatásra kerülnek, az első részben esik szó a</w:t>
      </w:r>
      <w:r>
        <w:rPr>
          <w:color w:val="000000"/>
          <w:sz w:val="24"/>
          <w:szCs w:val="24"/>
        </w:rPr>
        <w:br/>
        <w:t xml:space="preserve">jóerkölcs tartalmi meghatározásáról, valamint a bírói mérlegelésről egyaránt. Szintén az első</w:t>
      </w:r>
      <w:r>
        <w:rPr>
          <w:color w:val="000000"/>
          <w:sz w:val="24"/>
          <w:szCs w:val="24"/>
        </w:rPr>
        <w:br/>
        <w:t xml:space="preserve">rész foglalkozik a generálklauzulákkal, jogrendszerben betöltött szerepükkel. A többségi</w:t>
      </w:r>
      <w:r>
        <w:rPr>
          <w:color w:val="000000"/>
          <w:sz w:val="24"/>
          <w:szCs w:val="24"/>
        </w:rPr>
        <w:br/>
        <w:t xml:space="preserve">vélekedés nélkülözhetetlennek tartja ezeket a magasfokú absztrakcióval bíró, ún. királyi</w:t>
      </w:r>
      <w:r>
        <w:rPr>
          <w:color w:val="000000"/>
          <w:sz w:val="24"/>
          <w:szCs w:val="24"/>
        </w:rPr>
        <w:br/>
        <w:t xml:space="preserve">paragrafusokat, melyek legfontosabb szerepe a jognak az életviszonyok változásához való</w:t>
      </w:r>
      <w:r>
        <w:rPr>
          <w:color w:val="000000"/>
          <w:sz w:val="24"/>
          <w:szCs w:val="24"/>
        </w:rPr>
        <w:br/>
        <w:t xml:space="preserve">adaptációja, Ralph Weber elmélete azonban generálklauzulák veszélyeire hívja fel a figyelmet.</w:t>
      </w:r>
      <w:r>
        <w:rPr>
          <w:color w:val="000000"/>
          <w:sz w:val="24"/>
          <w:szCs w:val="24"/>
        </w:rPr>
        <w:br/>
        <w:t xml:space="preserve">A dolgozat célja rámutatni arra, hogy az építőiparban, az üzleti életben is érvényesülhet egy</w:t>
      </w:r>
      <w:r>
        <w:rPr>
          <w:color w:val="000000"/>
          <w:sz w:val="24"/>
          <w:szCs w:val="24"/>
        </w:rPr>
        <w:br/>
        <w:t xml:space="preserve">klasszikusan kvázi-méltányossági érvénytelenségi ok, valamint hogy évszázados</w:t>
      </w:r>
      <w:r>
        <w:rPr>
          <w:color w:val="000000"/>
          <w:sz w:val="24"/>
          <w:szCs w:val="24"/>
        </w:rPr>
        <w:br/>
        <w:t xml:space="preserve">hagyományokkal bíró jogintézménynek is számos új megjelenése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966634">
    <w:multiLevelType w:val="hybridMultilevel"/>
    <w:lvl w:ilvl="0" w:tplc="29785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966634">
    <w:abstractNumId w:val="889666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62455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