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FARAGÓ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faragogaborge@gmail.com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Hermann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pragmatica sanctio említései és értelmezései 1848-49-ben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államjog; politikai gondolkodás; 1723. évi törvények; szabadságharc; magyar-osztrák kapcsolatok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pragmatica sanctio említéseit mutatja be az utolsó rendi országgyűléssel kezdődően és a Habsburg-ház trónfosztásával bezárólag. 1848-49 szakirodalmában egy-egy epizód kapcsán találkozunk e törvényekkel, a magyar-osztrák kapcsolat valamely aspektusának tárgyalásakor, de a téma szisztematikus feldolgozása még nem történt meg. Pedig csupán egyesével szemlélve ezeket az epizódokat rejtve marad előttünk a két birodalomfél államjogi kapcsolatáról nem általánosságban, hanem konkrétan az 1723. évi törvények fényében folyó vita. Ez a vita ugyan a történések csomópontjain – például az olasz segély kapcsán – kerül csak a politikai diskurzus első vonalába, de a csomópontok között sem ül el, és az országos politikán kívül a közbeszéd, a publicisztika és a propaganda szerves részévé is válik. Erről meglepően bőségesen tanúskodnak a kor magyar nyelvű forrásai, amelyek közül elsősorban a nyilvánosságnak szóló szövegek (hírlapi cikkek, közjogi munkák, beszédek) feldolgozására vállalkozott a dolgozat. Ezekből egy élénk és szerteágazó kép tárul elénk a pragmatica sanctióról, és csupán az említések és értelmezési kísérletek rendszerezett bemutatása könnyedén kitölti a jelen munkának megszabott terjedelmi kereteket.</w:t>
      </w:r>
      <w:r>
        <w:rPr>
          <w:color w:val="000000"/>
          <w:sz w:val="24"/>
          <w:szCs w:val="24"/>
        </w:rPr>
        <w:br/>
        <w:t xml:space="preserve">Az elvi síkon és napi politikai érdekek mentén összefonódva folyó vita mélyebb összefüggéseinek vizsgálata további kutatásokat igényel, nem is beszélve az osztrák oldal álláspontjának feldolgozásáról. Annyi kijelenthető, hogy e törvények értelmezésében Magyarországon nem volt egységes álláspont, és az 1848-49-es próbálkozásokból nem is született. Ha a dolgozat alkalmas arra, hogy a kor történetírásában csak látens módon megjelenő pragmatica sanctio-kérdésre ráirányítja a politikai gondolkodás és nyelvhasználat kutatásának figyelmét, már elérte célját. A téma azért is érdekes, mert a későbbi kiegyezés államjogi vitáinak csaknem valamennyi szereplőjét és álláspontját felvonultatja és segít megérteni az álláspontok változását és emlékezetét: elég csak Kossuth 1881-es bírálatára és annak recepciójára utalnunk. És bár az egységes értelmezés kialakítása 1848-ban akár maga Kossuth, akár a vitákban akkor még feltűnően passzív Deák türelmét is próbára tehette, mégsem volt megkerülhető: utóbbi az 1867-es „kiegyezési törvényt” a pragmatica sanctióból Magyarország számára következő jogok és kötelezettségek definiálására építette.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48560">
    <w:multiLevelType w:val="hybridMultilevel"/>
    <w:lvl w:ilvl="0" w:tplc="21707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48560">
    <w:abstractNumId w:val="13648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341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