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MÁRKI PETRA</w:t>
            </w:r>
          </w:p>
          <w:p w:rsidR="00C275A3" w:rsidRDefault="00CA6B74" w:rsidP="00C275A3">
            <w:pPr>
              <w:pStyle w:val="Hallgatokepzes"/>
            </w:pPr>
            <w:r w:rsidRPr="001067CD">
              <w:rPr>
                <w:i/>
              </w:rPr>
              <w:t>mpetra649@gmail.com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Fazekas Flóra</w:t>
            </w:r>
          </w:p>
          <w:p w:rsidR="00DB4822" w:rsidRDefault="00DB4822" w:rsidP="00BA6BAF">
            <w:pPr>
              <w:pStyle w:val="Konzulensektitulus"/>
            </w:pPr>
            <w:r w:rsidRPr="00DB4822">
              <w:t>egyetemi adjunktus,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törvényes bíróhoz való jog és az ügyelosztási rend alkotmányos összefüggései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Törvényes bíróhoz való jog; ügyelosztási rend; igazságügyi reform; automatikus szignálás.</w:t>
      </w:r>
      <w:r>
        <w:t xml:space="preserve"/>
      </w:r>
    </w:p>
    <w:p>
      <w:pPr>
        <w:widowControl w:val="on"/>
        <w:pBdr/>
        <w:spacing w:before="240" w:after="240" w:line="240" w:lineRule="auto"/>
        <w:ind w:left="0" w:right="0"/>
        <w:jc w:val="left"/>
      </w:pPr>
      <w:r>
        <w:rPr>
          <w:color w:val="000000"/>
          <w:sz w:val="24"/>
          <w:szCs w:val="24"/>
        </w:rPr>
        <w:t xml:space="preserve">A bíróságok ügyelosztási rendszerének kérdése Magyarországon a 2023-as igazságügyi reformot követően került a figyelem középpontjába, amikor is az Unió szervei bizonyos pénzügyi források megszerzését a magyar bíróságok függetlenségét megerősítő reformok végrehajtásához kötötték. Az új szabályozás értelmében a Kúrián bevezették az automatikus szignálási rendszert, ezzel pedig újra teret kapott a vita, hogy ilyen módon megelőzhetőek-e az igazságszolgáltatás terén tapasztalható visszaélések.</w:t>
      </w:r>
      <w:r>
        <w:rPr>
          <w:color w:val="000000"/>
          <w:sz w:val="24"/>
          <w:szCs w:val="24"/>
        </w:rPr>
        <w:br/>
        <w:t xml:space="preserve">A törvényes bíróhoz való jog hivatott biztosítani azt, hogy kizárják az igazságszolgáltatás működéséből a többi hatalmi ág beavatkozásának lehetőségét. Jogállami követelményként jelenik meg az ügyelosztási rend megalkotása és nyilvánossá tétele, ugyanis ez teszi lehetővé, hogy megismerjük, ki fog dönteni az ügyünkben. Az átláthatóság az igazságszolgáltatásba vetett közbizalom fenntartása tekintetében is kiemelt jelentőséggel bír, ugyanis nem elég objektíve pártatlannak lenni, az önkényesség látszatát is el kell kerülni az ügyek bírókra való kiszignálásában.</w:t>
      </w:r>
      <w:r>
        <w:rPr>
          <w:color w:val="000000"/>
          <w:sz w:val="24"/>
          <w:szCs w:val="24"/>
        </w:rPr>
        <w:br/>
        <w:t xml:space="preserve">A bíróságok által megalkotandó ügyelosztási rend célja, hogy az eljáró bíróság megalakítása külső befolyástól mentesen történjen. Éppen ezért elvárás, hogy olyan szabályokat tartalmazzon, amelyek alkalmasak arra, hogy kiküszöböljenek minden szubjektív elemet. Kutatásom során feltártam az ügyelosztással kapcsolatban felállított nemzetközi követelményeket, ez alapján további részletszabályokat azonosítottam, amelyek többek között a hatékony igazságszolgáltatás megvalósítását szolgálják (például a szakértelem szerinti differenciálás). Mindezek alapján megállapítható, hogy bizonyos körülmények szükségessé teszik az előre meghatározott ügyelosztási metódustól való eltérést. Azonban e diszkréciós elem megléte az önkényes szignálás veszélyével fenyeget és alkalmas lehet arra, hogy egyes bírákat túlterheljenek, másoknak pedig kedvezzenek, illetve arra is, hogy politikailag érzékeny ügyek adott bírókhoz jussanak.</w:t>
      </w:r>
      <w:r>
        <w:rPr>
          <w:color w:val="000000"/>
          <w:sz w:val="24"/>
          <w:szCs w:val="24"/>
        </w:rPr>
        <w:br/>
        <w:t xml:space="preserve">Kutatásom során az előzetesen felállított minimumsztenderdek alapján górcső alá vettem a Kúria és egy alsóbb szintű bíróság, a Debreceni Járásbíróság ügyelosztási rendjét. Összegzésként azt a következtetést vontam le, hogy továbbra is nehéz megteremteni a megfelelő egyensúlyt a bíróságok igazgatásának jogszerűsége és a kiszámítható és időszerű igazságszolgáltatás követelményei között, ezért mindkét bíróság ügyelosztása tekintetében beazonosíthatók korrekcióra szoruló elemek.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24307">
    <w:multiLevelType w:val="hybridMultilevel"/>
    <w:lvl w:ilvl="0" w:tplc="69612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24307">
    <w:abstractNumId w:val="49024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1813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